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D1BDD">
      <w:pPr>
        <w:jc w:val="center"/>
        <w:rPr>
          <w:rFonts w:ascii="微软雅黑" w:hAnsi="微软雅黑" w:eastAsia="微软雅黑"/>
          <w:sz w:val="32"/>
          <w:szCs w:val="36"/>
        </w:rPr>
      </w:pPr>
      <w:bookmarkStart w:id="8" w:name="_GoBack"/>
      <w:bookmarkEnd w:id="8"/>
      <w:r>
        <w:rPr>
          <w:rFonts w:hint="eastAsia" w:ascii="微软雅黑" w:hAnsi="微软雅黑" w:eastAsia="微软雅黑"/>
          <w:sz w:val="32"/>
          <w:szCs w:val="36"/>
        </w:rPr>
        <w:t>上海第二工业大学</w:t>
      </w:r>
    </w:p>
    <w:p w14:paraId="031754C8">
      <w:pPr>
        <w:jc w:val="center"/>
        <w:rPr>
          <w:rFonts w:ascii="微软雅黑" w:hAnsi="微软雅黑" w:eastAsia="微软雅黑"/>
          <w:sz w:val="30"/>
          <w:szCs w:val="30"/>
        </w:rPr>
      </w:pPr>
      <w:r>
        <w:rPr>
          <w:rFonts w:hint="eastAsia" w:ascii="微软雅黑" w:hAnsi="微软雅黑" w:eastAsia="微软雅黑"/>
          <w:sz w:val="30"/>
          <w:szCs w:val="30"/>
        </w:rPr>
        <w:t>高等学历继续教育本科毕业生学士学位外语考试</w:t>
      </w:r>
      <w:r>
        <w:rPr>
          <w:rFonts w:ascii="微软雅黑" w:hAnsi="微软雅黑" w:eastAsia="微软雅黑"/>
          <w:sz w:val="30"/>
          <w:szCs w:val="30"/>
        </w:rPr>
        <w:t>实施</w:t>
      </w:r>
      <w:r>
        <w:rPr>
          <w:rFonts w:hint="eastAsia" w:ascii="微软雅黑" w:hAnsi="微软雅黑" w:eastAsia="微软雅黑"/>
          <w:sz w:val="30"/>
          <w:szCs w:val="30"/>
        </w:rPr>
        <w:t>办法</w:t>
      </w:r>
    </w:p>
    <w:p w14:paraId="69923C8E">
      <w:pPr>
        <w:ind w:firstLine="570"/>
        <w:jc w:val="left"/>
        <w:rPr>
          <w:rFonts w:ascii="微软雅黑" w:hAnsi="微软雅黑" w:eastAsia="微软雅黑"/>
          <w:sz w:val="30"/>
          <w:szCs w:val="30"/>
        </w:rPr>
      </w:pPr>
    </w:p>
    <w:p w14:paraId="67E3F011">
      <w:pPr>
        <w:ind w:firstLine="570"/>
        <w:jc w:val="left"/>
        <w:rPr>
          <w:rFonts w:ascii="宋体" w:hAnsi="宋体"/>
          <w:sz w:val="28"/>
          <w:szCs w:val="24"/>
        </w:rPr>
      </w:pPr>
      <w:r>
        <w:rPr>
          <w:rFonts w:hint="eastAsia" w:ascii="宋体" w:hAnsi="宋体"/>
          <w:sz w:val="28"/>
          <w:szCs w:val="24"/>
        </w:rPr>
        <w:t>根据《国务院学位委员会关于印发</w:t>
      </w:r>
      <w:r>
        <w:rPr>
          <w:rFonts w:ascii="宋体" w:hAnsi="宋体"/>
          <w:sz w:val="28"/>
          <w:szCs w:val="24"/>
        </w:rPr>
        <w:t>&lt;</w:t>
      </w:r>
      <w:r>
        <w:rPr>
          <w:rFonts w:hint="eastAsia" w:ascii="宋体" w:hAnsi="宋体"/>
          <w:sz w:val="28"/>
          <w:szCs w:val="24"/>
        </w:rPr>
        <w:t>学士学位授权与授予管理办法</w:t>
      </w:r>
      <w:r>
        <w:rPr>
          <w:rFonts w:ascii="宋体" w:hAnsi="宋体"/>
          <w:sz w:val="28"/>
          <w:szCs w:val="24"/>
        </w:rPr>
        <w:t>&gt;</w:t>
      </w:r>
      <w:r>
        <w:rPr>
          <w:rFonts w:hint="eastAsia" w:ascii="宋体" w:hAnsi="宋体"/>
          <w:sz w:val="28"/>
          <w:szCs w:val="24"/>
        </w:rPr>
        <w:t>的通知》（学位</w:t>
      </w:r>
      <w:r>
        <w:rPr>
          <w:rFonts w:ascii="宋体" w:hAnsi="宋体"/>
          <w:sz w:val="28"/>
          <w:szCs w:val="24"/>
        </w:rPr>
        <w:t>[2019]20</w:t>
      </w:r>
      <w:r>
        <w:rPr>
          <w:rFonts w:hint="eastAsia" w:ascii="宋体" w:hAnsi="宋体"/>
          <w:sz w:val="28"/>
          <w:szCs w:val="24"/>
        </w:rPr>
        <w:t>号）、《上海第二工业大学高等学历继续教育学士学位授予办法》等文件的规定和要求，切实提高成人高等教育本科毕业生学士学位授予质量，结合学校实际，特制定本实施办法。</w:t>
      </w:r>
    </w:p>
    <w:p w14:paraId="50A0360D">
      <w:pPr>
        <w:jc w:val="left"/>
        <w:rPr>
          <w:rFonts w:ascii="宋体" w:hAnsi="宋体"/>
          <w:b/>
          <w:sz w:val="28"/>
          <w:szCs w:val="24"/>
        </w:rPr>
      </w:pPr>
      <w:r>
        <w:rPr>
          <w:rFonts w:hint="eastAsia" w:ascii="宋体" w:hAnsi="宋体"/>
          <w:b/>
          <w:sz w:val="28"/>
          <w:szCs w:val="24"/>
        </w:rPr>
        <w:t>一、总体要求</w:t>
      </w:r>
    </w:p>
    <w:p w14:paraId="6D77B1EE">
      <w:pPr>
        <w:spacing w:line="360" w:lineRule="auto"/>
        <w:ind w:firstLine="560" w:firstLineChars="200"/>
        <w:rPr>
          <w:rFonts w:ascii="宋体" w:hAnsi="宋体"/>
          <w:sz w:val="28"/>
          <w:szCs w:val="24"/>
        </w:rPr>
      </w:pPr>
      <w:r>
        <w:rPr>
          <w:rFonts w:hint="eastAsia" w:ascii="宋体" w:hAnsi="宋体"/>
          <w:sz w:val="28"/>
          <w:szCs w:val="24"/>
        </w:rPr>
        <w:t>坚持学校统一领导，严格实行教考分离，提高考试组织工作的规范性和科学性。高等学历继续教育本科毕业生学士学位外语考试（以下简称：学士学位外语考试）语种为英语，测试试卷形式与难度相当于全国英语等级考试三级（PETS-3）水平。每位学生自二年级下半学期起至最长学习年限内，</w:t>
      </w:r>
      <w:bookmarkStart w:id="0" w:name="OLE_LINK5"/>
      <w:bookmarkStart w:id="1" w:name="OLE_LINK6"/>
      <w:r>
        <w:rPr>
          <w:rFonts w:hint="eastAsia" w:ascii="宋体" w:hAnsi="宋体"/>
          <w:sz w:val="28"/>
          <w:szCs w:val="24"/>
        </w:rPr>
        <w:t>仅可报</w:t>
      </w:r>
      <w:bookmarkStart w:id="2" w:name="OLE_LINK2"/>
      <w:bookmarkStart w:id="3" w:name="OLE_LINK1"/>
      <w:r>
        <w:rPr>
          <w:rFonts w:hint="eastAsia" w:ascii="宋体" w:hAnsi="宋体"/>
          <w:sz w:val="28"/>
          <w:szCs w:val="24"/>
        </w:rPr>
        <w:t>名参加1次学校组织的学位外语考试。</w:t>
      </w:r>
    </w:p>
    <w:bookmarkEnd w:id="0"/>
    <w:bookmarkEnd w:id="1"/>
    <w:bookmarkEnd w:id="2"/>
    <w:bookmarkEnd w:id="3"/>
    <w:p w14:paraId="140D7550">
      <w:pPr>
        <w:spacing w:line="360" w:lineRule="auto"/>
        <w:rPr>
          <w:rFonts w:ascii="宋体" w:hAnsi="宋体"/>
          <w:b/>
          <w:sz w:val="28"/>
          <w:szCs w:val="24"/>
        </w:rPr>
      </w:pPr>
      <w:r>
        <w:rPr>
          <w:rFonts w:hint="eastAsia" w:ascii="宋体" w:hAnsi="宋体"/>
          <w:b/>
          <w:sz w:val="28"/>
          <w:szCs w:val="24"/>
        </w:rPr>
        <w:t>二、实施方案</w:t>
      </w:r>
    </w:p>
    <w:p w14:paraId="596DB276">
      <w:pPr>
        <w:spacing w:line="360" w:lineRule="auto"/>
        <w:ind w:firstLine="560" w:firstLineChars="200"/>
        <w:rPr>
          <w:rFonts w:ascii="宋体" w:hAnsi="宋体"/>
          <w:sz w:val="28"/>
          <w:szCs w:val="24"/>
        </w:rPr>
      </w:pPr>
      <w:r>
        <w:rPr>
          <w:rFonts w:hint="eastAsia" w:ascii="宋体" w:hAnsi="宋体"/>
          <w:sz w:val="28"/>
          <w:szCs w:val="24"/>
        </w:rPr>
        <w:t>1.考试组织</w:t>
      </w:r>
    </w:p>
    <w:p w14:paraId="316B1A2C">
      <w:pPr>
        <w:spacing w:line="360" w:lineRule="auto"/>
        <w:ind w:firstLine="560" w:firstLineChars="200"/>
        <w:rPr>
          <w:rFonts w:ascii="宋体" w:hAnsi="宋体"/>
          <w:sz w:val="28"/>
          <w:szCs w:val="24"/>
        </w:rPr>
      </w:pPr>
      <w:r>
        <w:rPr>
          <w:rFonts w:hint="eastAsia" w:ascii="宋体" w:hAnsi="宋体"/>
          <w:sz w:val="28"/>
          <w:szCs w:val="24"/>
        </w:rPr>
        <w:t>由学校教务处负责</w:t>
      </w:r>
      <w:r>
        <w:rPr>
          <w:rFonts w:ascii="宋体" w:hAnsi="宋体"/>
          <w:sz w:val="28"/>
          <w:szCs w:val="24"/>
        </w:rPr>
        <w:t>牵头成立</w:t>
      </w:r>
      <w:r>
        <w:rPr>
          <w:rFonts w:hint="eastAsia" w:ascii="宋体" w:hAnsi="宋体"/>
          <w:sz w:val="28"/>
          <w:szCs w:val="24"/>
        </w:rPr>
        <w:t>学士学位外语考试</w:t>
      </w:r>
      <w:r>
        <w:rPr>
          <w:rFonts w:ascii="宋体" w:hAnsi="宋体"/>
          <w:sz w:val="28"/>
          <w:szCs w:val="24"/>
        </w:rPr>
        <w:t>领导小组，</w:t>
      </w:r>
      <w:r>
        <w:rPr>
          <w:rFonts w:hint="eastAsia" w:ascii="宋体" w:hAnsi="宋体"/>
          <w:sz w:val="28"/>
          <w:szCs w:val="24"/>
        </w:rPr>
        <w:t>由校教务处处长担任领导小组组长，继续教育学院院长担任副组长，会同教务处与继续教育学院相关人员共同负责学士学位外语考试的组织工作。</w:t>
      </w:r>
    </w:p>
    <w:p w14:paraId="659242F2">
      <w:pPr>
        <w:spacing w:line="360" w:lineRule="auto"/>
        <w:ind w:firstLine="560" w:firstLineChars="200"/>
        <w:rPr>
          <w:rFonts w:ascii="宋体" w:hAnsi="宋体"/>
          <w:sz w:val="28"/>
          <w:szCs w:val="24"/>
        </w:rPr>
      </w:pPr>
      <w:r>
        <w:rPr>
          <w:rFonts w:hint="eastAsia" w:ascii="宋体" w:hAnsi="宋体"/>
          <w:sz w:val="28"/>
          <w:szCs w:val="24"/>
        </w:rPr>
        <w:t>2.命题、阅卷、评分与考务组织</w:t>
      </w:r>
    </w:p>
    <w:p w14:paraId="6E3A18D6">
      <w:pPr>
        <w:spacing w:line="360" w:lineRule="auto"/>
        <w:ind w:firstLine="560" w:firstLineChars="200"/>
        <w:rPr>
          <w:rFonts w:ascii="宋体" w:hAnsi="宋体"/>
          <w:sz w:val="28"/>
          <w:szCs w:val="24"/>
        </w:rPr>
      </w:pPr>
      <w:r>
        <w:rPr>
          <w:rFonts w:hint="eastAsia" w:ascii="宋体" w:hAnsi="宋体"/>
          <w:sz w:val="28"/>
          <w:szCs w:val="24"/>
        </w:rPr>
        <w:t>由学校教务处组织相关专业人员按照《上海第二工业大学高等学历继续教育本科毕业生学位外语考试大纲》进行命题，并负责完成阅卷、评分等工作。由继续教育学院负责考试的考务组织等工作。</w:t>
      </w:r>
    </w:p>
    <w:p w14:paraId="59AE1CD2">
      <w:pPr>
        <w:spacing w:line="360" w:lineRule="auto"/>
        <w:ind w:firstLine="560" w:firstLineChars="200"/>
        <w:rPr>
          <w:rFonts w:ascii="宋体" w:hAnsi="宋体"/>
          <w:sz w:val="28"/>
          <w:szCs w:val="24"/>
        </w:rPr>
      </w:pPr>
      <w:r>
        <w:rPr>
          <w:rFonts w:hint="eastAsia" w:ascii="宋体" w:hAnsi="宋体"/>
          <w:sz w:val="28"/>
          <w:szCs w:val="24"/>
        </w:rPr>
        <w:t>3.考试形式</w:t>
      </w:r>
    </w:p>
    <w:p w14:paraId="164A7A72">
      <w:pPr>
        <w:spacing w:line="360" w:lineRule="auto"/>
        <w:ind w:firstLine="560" w:firstLineChars="200"/>
        <w:rPr>
          <w:rFonts w:ascii="宋体" w:hAnsi="宋体"/>
          <w:sz w:val="28"/>
          <w:szCs w:val="24"/>
        </w:rPr>
      </w:pPr>
      <w:r>
        <w:rPr>
          <w:rFonts w:hint="eastAsia" w:ascii="宋体" w:hAnsi="宋体"/>
          <w:sz w:val="28"/>
          <w:szCs w:val="24"/>
        </w:rPr>
        <w:t xml:space="preserve">学士学位外语考试采用书面闭卷或机考的方式进行。 </w:t>
      </w:r>
    </w:p>
    <w:p w14:paraId="0A635AA3">
      <w:pPr>
        <w:spacing w:line="360" w:lineRule="auto"/>
        <w:ind w:firstLine="560" w:firstLineChars="200"/>
        <w:rPr>
          <w:rFonts w:ascii="宋体" w:hAnsi="宋体"/>
          <w:sz w:val="28"/>
          <w:szCs w:val="24"/>
        </w:rPr>
      </w:pPr>
      <w:r>
        <w:rPr>
          <w:rFonts w:hint="eastAsia" w:ascii="宋体" w:hAnsi="宋体"/>
          <w:sz w:val="28"/>
          <w:szCs w:val="24"/>
        </w:rPr>
        <w:t>4.考试时间、考试报名、考试地点</w:t>
      </w:r>
    </w:p>
    <w:p w14:paraId="16E88EEE">
      <w:pPr>
        <w:spacing w:line="360" w:lineRule="auto"/>
        <w:ind w:firstLine="560" w:firstLineChars="200"/>
        <w:rPr>
          <w:rFonts w:ascii="宋体" w:hAnsi="宋体"/>
          <w:sz w:val="28"/>
          <w:szCs w:val="24"/>
        </w:rPr>
      </w:pPr>
      <w:r>
        <w:rPr>
          <w:rFonts w:hint="eastAsia" w:ascii="宋体" w:hAnsi="宋体"/>
          <w:sz w:val="28"/>
          <w:szCs w:val="24"/>
        </w:rPr>
        <w:t>根据实际需要，</w:t>
      </w:r>
      <w:bookmarkStart w:id="4" w:name="OLE_LINK3"/>
      <w:bookmarkStart w:id="5" w:name="OLE_LINK4"/>
      <w:r>
        <w:rPr>
          <w:rFonts w:hint="eastAsia" w:ascii="宋体" w:hAnsi="宋体"/>
          <w:sz w:val="28"/>
          <w:szCs w:val="24"/>
        </w:rPr>
        <w:t>学校每年将组织1-2次学位外语考试，时间安排在4月或</w:t>
      </w:r>
      <w:r>
        <w:rPr>
          <w:rFonts w:ascii="宋体" w:hAnsi="宋体"/>
          <w:sz w:val="28"/>
          <w:szCs w:val="24"/>
        </w:rPr>
        <w:t>10</w:t>
      </w:r>
      <w:r>
        <w:rPr>
          <w:rFonts w:hint="eastAsia" w:ascii="宋体" w:hAnsi="宋体"/>
          <w:sz w:val="28"/>
          <w:szCs w:val="24"/>
        </w:rPr>
        <w:t>月，</w:t>
      </w:r>
      <w:bookmarkEnd w:id="4"/>
      <w:bookmarkEnd w:id="5"/>
      <w:r>
        <w:rPr>
          <w:rFonts w:hint="eastAsia" w:ascii="宋体" w:hAnsi="宋体"/>
          <w:sz w:val="28"/>
          <w:szCs w:val="24"/>
        </w:rPr>
        <w:t>具体时间另行通知。学生按要求通过继续教育学院考试报名系统进行报名。考试地点设在学校普陀校区。</w:t>
      </w:r>
    </w:p>
    <w:p w14:paraId="54DB860F">
      <w:pPr>
        <w:spacing w:line="360" w:lineRule="auto"/>
        <w:ind w:firstLine="560" w:firstLineChars="200"/>
        <w:rPr>
          <w:rFonts w:ascii="宋体" w:hAnsi="宋体"/>
          <w:sz w:val="28"/>
          <w:szCs w:val="24"/>
        </w:rPr>
      </w:pPr>
      <w:r>
        <w:rPr>
          <w:rFonts w:hint="eastAsia" w:ascii="宋体" w:hAnsi="宋体"/>
          <w:sz w:val="28"/>
          <w:szCs w:val="24"/>
        </w:rPr>
        <w:t>5.考试成绩认定、成绩查询、成绩单下载</w:t>
      </w:r>
    </w:p>
    <w:p w14:paraId="786BD812">
      <w:pPr>
        <w:spacing w:line="360" w:lineRule="auto"/>
        <w:ind w:firstLine="560" w:firstLineChars="200"/>
        <w:rPr>
          <w:rFonts w:ascii="宋体" w:hAnsi="宋体"/>
          <w:sz w:val="28"/>
          <w:szCs w:val="24"/>
        </w:rPr>
      </w:pPr>
      <w:r>
        <w:rPr>
          <w:rFonts w:hint="eastAsia" w:ascii="宋体" w:hAnsi="宋体"/>
          <w:sz w:val="28"/>
          <w:szCs w:val="24"/>
        </w:rPr>
        <w:t>学士学位外语考试采用百分制，60分及以上为考试合格。考试成绩于每年的4月底或10月底前公布，考生可上继续教育学院网站进行查询，并下载学位外语考试成绩单。</w:t>
      </w:r>
    </w:p>
    <w:p w14:paraId="62B3F261">
      <w:pPr>
        <w:spacing w:line="360" w:lineRule="auto"/>
        <w:ind w:firstLine="548" w:firstLineChars="196"/>
        <w:rPr>
          <w:rFonts w:ascii="宋体" w:hAnsi="宋体"/>
          <w:sz w:val="28"/>
          <w:szCs w:val="24"/>
        </w:rPr>
      </w:pPr>
      <w:r>
        <w:rPr>
          <w:rFonts w:hint="eastAsia" w:ascii="宋体" w:hAnsi="宋体"/>
          <w:sz w:val="28"/>
          <w:szCs w:val="24"/>
        </w:rPr>
        <w:t>6.考试纪律</w:t>
      </w:r>
    </w:p>
    <w:p w14:paraId="7FD175E3">
      <w:pPr>
        <w:spacing w:line="360" w:lineRule="auto"/>
        <w:ind w:firstLine="560" w:firstLineChars="200"/>
        <w:rPr>
          <w:rFonts w:ascii="宋体" w:hAnsi="宋体"/>
          <w:sz w:val="28"/>
          <w:szCs w:val="24"/>
        </w:rPr>
      </w:pPr>
      <w:r>
        <w:rPr>
          <w:rFonts w:hint="eastAsia" w:ascii="宋体" w:hAnsi="宋体"/>
          <w:sz w:val="28"/>
          <w:szCs w:val="24"/>
        </w:rPr>
        <w:t>所有参加考试的学生必须严格执行学校制订的学士学位外语考试的各项纪律规定，学校将采用“人脸识别”、“身份认证”“视频监控”等技术手段加强考试过程的监控，对违反考试</w:t>
      </w:r>
      <w:bookmarkStart w:id="6" w:name="OLE_LINK7"/>
      <w:r>
        <w:rPr>
          <w:rFonts w:hint="eastAsia" w:ascii="宋体" w:hAnsi="宋体"/>
          <w:sz w:val="28"/>
          <w:szCs w:val="24"/>
        </w:rPr>
        <w:t>纪</w:t>
      </w:r>
      <w:bookmarkEnd w:id="6"/>
      <w:r>
        <w:rPr>
          <w:rFonts w:hint="eastAsia" w:ascii="宋体" w:hAnsi="宋体"/>
          <w:sz w:val="28"/>
          <w:szCs w:val="24"/>
        </w:rPr>
        <w:t>律者将视情节轻重分别予以取消学士学位授予资格或暂缓接受其授予学士学位申请的处理，并给予相应纪律处分。</w:t>
      </w:r>
    </w:p>
    <w:p w14:paraId="245DE630">
      <w:pPr>
        <w:spacing w:line="360" w:lineRule="auto"/>
        <w:ind w:firstLine="560" w:firstLineChars="200"/>
        <w:rPr>
          <w:rFonts w:ascii="宋体" w:hAnsi="宋体"/>
          <w:sz w:val="28"/>
          <w:szCs w:val="24"/>
        </w:rPr>
      </w:pPr>
      <w:r>
        <w:rPr>
          <w:rFonts w:hint="eastAsia" w:ascii="宋体" w:hAnsi="宋体"/>
          <w:sz w:val="28"/>
          <w:szCs w:val="24"/>
        </w:rPr>
        <w:t>7.考试经费</w:t>
      </w:r>
    </w:p>
    <w:p w14:paraId="23A45A5C">
      <w:pPr>
        <w:spacing w:line="360" w:lineRule="auto"/>
        <w:ind w:firstLine="560" w:firstLineChars="200"/>
        <w:rPr>
          <w:rFonts w:ascii="宋体" w:hAnsi="宋体"/>
          <w:sz w:val="28"/>
          <w:szCs w:val="24"/>
        </w:rPr>
      </w:pPr>
      <w:r>
        <w:rPr>
          <w:rFonts w:hint="eastAsia" w:ascii="宋体" w:hAnsi="宋体"/>
          <w:sz w:val="28"/>
          <w:szCs w:val="24"/>
        </w:rPr>
        <w:t>学校免收参加学士学位外语考试学生的报名费及考务费。涉及学士学位外语考试的所有经费由学校相关专项经费给予支出。</w:t>
      </w:r>
    </w:p>
    <w:p w14:paraId="04A63881">
      <w:pPr>
        <w:spacing w:line="360" w:lineRule="auto"/>
        <w:ind w:firstLine="560" w:firstLineChars="200"/>
        <w:rPr>
          <w:rFonts w:ascii="宋体" w:hAnsi="宋体"/>
          <w:sz w:val="28"/>
          <w:szCs w:val="24"/>
        </w:rPr>
      </w:pPr>
    </w:p>
    <w:p w14:paraId="37FBC073">
      <w:pPr>
        <w:spacing w:line="360" w:lineRule="auto"/>
        <w:rPr>
          <w:rFonts w:ascii="宋体" w:hAnsi="宋体"/>
          <w:bCs/>
          <w:color w:val="000000"/>
          <w:sz w:val="24"/>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b/>
          <w:sz w:val="24"/>
          <w:szCs w:val="21"/>
        </w:rPr>
        <w:t xml:space="preserve">   </w:t>
      </w:r>
      <w:r>
        <w:rPr>
          <w:rFonts w:hint="eastAsia" w:ascii="宋体" w:hAnsi="宋体"/>
          <w:sz w:val="28"/>
          <w:szCs w:val="24"/>
        </w:rPr>
        <w:t xml:space="preserve"> 上海第二工业大学</w:t>
      </w:r>
    </w:p>
    <w:p w14:paraId="0DBDD7CA">
      <w:pPr>
        <w:spacing w:line="360" w:lineRule="auto"/>
        <w:rPr>
          <w:rFonts w:ascii="宋体" w:hAnsi="宋体"/>
          <w:b/>
          <w:sz w:val="24"/>
          <w:szCs w:val="21"/>
        </w:rPr>
      </w:pPr>
    </w:p>
    <w:p w14:paraId="55A6EB3C">
      <w:pPr>
        <w:spacing w:line="360" w:lineRule="auto"/>
        <w:ind w:firstLine="5180" w:firstLineChars="2150"/>
        <w:rPr>
          <w:rFonts w:ascii="宋体" w:hAnsi="宋体"/>
          <w:b/>
          <w:sz w:val="24"/>
          <w:szCs w:val="21"/>
        </w:rPr>
      </w:pPr>
    </w:p>
    <w:p w14:paraId="37AA28AE">
      <w:pPr>
        <w:spacing w:line="360" w:lineRule="auto"/>
        <w:jc w:val="left"/>
        <w:rPr>
          <w:rFonts w:ascii="黑体" w:hAnsi="黑体" w:eastAsia="黑体"/>
          <w:sz w:val="24"/>
          <w:szCs w:val="24"/>
        </w:rPr>
      </w:pPr>
    </w:p>
    <w:p w14:paraId="47BFD9CC">
      <w:pPr>
        <w:spacing w:line="360" w:lineRule="auto"/>
        <w:jc w:val="left"/>
        <w:rPr>
          <w:rFonts w:ascii="黑体" w:hAnsi="黑体" w:eastAsia="黑体"/>
          <w:b/>
          <w:sz w:val="32"/>
          <w:szCs w:val="24"/>
        </w:rPr>
      </w:pPr>
      <w:r>
        <w:rPr>
          <w:rFonts w:hint="eastAsia" w:ascii="黑体" w:hAnsi="黑体" w:eastAsia="黑体"/>
          <w:sz w:val="24"/>
          <w:szCs w:val="24"/>
        </w:rPr>
        <w:t>附：</w:t>
      </w:r>
      <w:r>
        <w:rPr>
          <w:rFonts w:hint="eastAsia" w:ascii="宋体" w:hAnsi="宋体"/>
          <w:sz w:val="24"/>
          <w:szCs w:val="24"/>
        </w:rPr>
        <w:t>《上海第二工业大学高等学历继续教育本科毕业生学位外语考试大纲》</w:t>
      </w:r>
    </w:p>
    <w:p w14:paraId="09AFF7B2">
      <w:pPr>
        <w:spacing w:line="360" w:lineRule="auto"/>
        <w:jc w:val="center"/>
        <w:rPr>
          <w:rFonts w:ascii="黑体" w:hAnsi="黑体" w:eastAsia="黑体"/>
          <w:b/>
          <w:sz w:val="32"/>
          <w:szCs w:val="24"/>
        </w:rPr>
      </w:pPr>
    </w:p>
    <w:p w14:paraId="38371E3F">
      <w:pPr>
        <w:spacing w:line="360" w:lineRule="auto"/>
        <w:jc w:val="center"/>
        <w:rPr>
          <w:rFonts w:ascii="黑体" w:hAnsi="黑体" w:eastAsia="黑体"/>
          <w:b/>
          <w:sz w:val="32"/>
          <w:szCs w:val="24"/>
        </w:rPr>
      </w:pPr>
      <w:r>
        <w:rPr>
          <w:rFonts w:hint="eastAsia" w:ascii="黑体" w:hAnsi="黑体" w:eastAsia="黑体"/>
          <w:b/>
          <w:sz w:val="32"/>
          <w:szCs w:val="24"/>
        </w:rPr>
        <w:t>上海第二</w:t>
      </w:r>
      <w:r>
        <w:rPr>
          <w:rFonts w:ascii="黑体" w:hAnsi="黑体" w:eastAsia="黑体"/>
          <w:b/>
          <w:sz w:val="32"/>
          <w:szCs w:val="24"/>
        </w:rPr>
        <w:t>工业大学</w:t>
      </w:r>
    </w:p>
    <w:p w14:paraId="55335D0D">
      <w:pPr>
        <w:spacing w:line="360" w:lineRule="auto"/>
        <w:jc w:val="center"/>
        <w:rPr>
          <w:rFonts w:ascii="宋体" w:hAnsi="宋体"/>
          <w:b/>
          <w:sz w:val="24"/>
          <w:szCs w:val="24"/>
        </w:rPr>
      </w:pPr>
      <w:r>
        <w:rPr>
          <w:rFonts w:hint="eastAsia" w:ascii="黑体" w:hAnsi="黑体" w:eastAsia="黑体"/>
          <w:b/>
          <w:sz w:val="32"/>
          <w:szCs w:val="24"/>
        </w:rPr>
        <w:t>高等学历继续教育本科毕业生学位外语考试大纲</w:t>
      </w:r>
    </w:p>
    <w:p w14:paraId="71C4AC63">
      <w:pPr>
        <w:spacing w:before="312" w:beforeLines="100" w:line="360" w:lineRule="auto"/>
        <w:rPr>
          <w:rFonts w:ascii="宋体" w:hAnsi="宋体"/>
          <w:b/>
          <w:sz w:val="24"/>
          <w:szCs w:val="24"/>
        </w:rPr>
      </w:pPr>
      <w:r>
        <w:rPr>
          <w:rFonts w:hint="eastAsia" w:ascii="宋体" w:hAnsi="宋体"/>
          <w:b/>
          <w:sz w:val="24"/>
          <w:szCs w:val="24"/>
        </w:rPr>
        <w:t>一、考试性质</w:t>
      </w:r>
    </w:p>
    <w:p w14:paraId="6F0CB329">
      <w:pPr>
        <w:spacing w:line="360" w:lineRule="auto"/>
        <w:ind w:firstLine="480" w:firstLineChars="200"/>
        <w:rPr>
          <w:rFonts w:ascii="宋体" w:hAnsi="宋体"/>
          <w:sz w:val="24"/>
          <w:szCs w:val="24"/>
        </w:rPr>
      </w:pPr>
      <w:r>
        <w:rPr>
          <w:rFonts w:hint="eastAsia" w:ascii="宋体" w:hAnsi="宋体"/>
          <w:sz w:val="24"/>
          <w:szCs w:val="24"/>
        </w:rPr>
        <w:t>上海第二工业大学高等学历继续教育本科毕业生学位外语考试，旨在客观测试高等学历继续教育本科毕业生（非英语专业）对于英语语言的掌握和运用能力。考试成绩合格者，可视为达到申请学士学位时对英语水平的要求，亦可作为高等学历继续教育本科毕业生外语学业水平测试方法。学生可自愿报名参加测试。</w:t>
      </w:r>
      <w:bookmarkStart w:id="7" w:name="baidusnap5"/>
      <w:bookmarkEnd w:id="7"/>
    </w:p>
    <w:p w14:paraId="1FFA7A57">
      <w:pPr>
        <w:spacing w:line="360" w:lineRule="auto"/>
        <w:rPr>
          <w:rFonts w:ascii="宋体" w:hAnsi="宋体"/>
          <w:b/>
          <w:sz w:val="24"/>
          <w:szCs w:val="24"/>
        </w:rPr>
      </w:pPr>
      <w:r>
        <w:rPr>
          <w:rFonts w:hint="eastAsia" w:ascii="宋体" w:hAnsi="宋体"/>
          <w:b/>
          <w:sz w:val="24"/>
          <w:szCs w:val="24"/>
        </w:rPr>
        <w:t xml:space="preserve">二、考试要求 </w:t>
      </w:r>
    </w:p>
    <w:p w14:paraId="2132A0D5">
      <w:pPr>
        <w:spacing w:line="360" w:lineRule="auto"/>
        <w:ind w:firstLine="480" w:firstLineChars="200"/>
        <w:rPr>
          <w:rFonts w:ascii="宋体" w:hAnsi="宋体"/>
          <w:sz w:val="24"/>
          <w:szCs w:val="24"/>
        </w:rPr>
      </w:pPr>
      <w:r>
        <w:rPr>
          <w:rFonts w:hint="eastAsia" w:ascii="宋体" w:hAnsi="宋体"/>
          <w:sz w:val="24"/>
          <w:szCs w:val="24"/>
        </w:rPr>
        <w:t>要求考生能够较熟练地掌握英语基本语法和常用词汇，具有一定的阅读能力和综合运用能力。考生在英语语言的掌握和运用方面应达到以下要求：</w:t>
      </w:r>
    </w:p>
    <w:p w14:paraId="162BD1AA">
      <w:pPr>
        <w:spacing w:line="360" w:lineRule="auto"/>
        <w:ind w:firstLine="482" w:firstLineChars="200"/>
        <w:rPr>
          <w:rFonts w:ascii="宋体" w:hAnsi="宋体"/>
          <w:b/>
          <w:sz w:val="24"/>
          <w:szCs w:val="24"/>
        </w:rPr>
      </w:pPr>
      <w:r>
        <w:rPr>
          <w:rFonts w:hint="eastAsia" w:ascii="宋体" w:hAnsi="宋体"/>
          <w:b/>
          <w:sz w:val="24"/>
          <w:szCs w:val="24"/>
        </w:rPr>
        <w:t>（一）词汇</w:t>
      </w:r>
    </w:p>
    <w:p w14:paraId="22E50208">
      <w:pPr>
        <w:spacing w:line="360" w:lineRule="auto"/>
        <w:ind w:firstLine="480" w:firstLineChars="200"/>
        <w:rPr>
          <w:rFonts w:ascii="宋体" w:hAnsi="宋体"/>
          <w:sz w:val="24"/>
          <w:szCs w:val="24"/>
        </w:rPr>
      </w:pPr>
      <w:r>
        <w:rPr>
          <w:rFonts w:hint="eastAsia" w:ascii="宋体" w:hAnsi="宋体"/>
          <w:sz w:val="24"/>
          <w:szCs w:val="24"/>
        </w:rPr>
        <w:t>领会式掌握4000个左右单词和500个左右常用词组，复用式掌握2000个左右常用单词和200个左右常用词组，并在阅读、翻译和写作等过程中具有相应的应用能力。</w:t>
      </w:r>
    </w:p>
    <w:p w14:paraId="2A660E04">
      <w:pPr>
        <w:spacing w:line="360" w:lineRule="auto"/>
        <w:ind w:firstLine="482" w:firstLineChars="200"/>
        <w:rPr>
          <w:rFonts w:ascii="宋体" w:hAnsi="宋体"/>
          <w:b/>
          <w:sz w:val="24"/>
          <w:szCs w:val="24"/>
        </w:rPr>
      </w:pPr>
      <w:r>
        <w:rPr>
          <w:rFonts w:hint="eastAsia" w:ascii="宋体" w:hAnsi="宋体"/>
          <w:b/>
          <w:sz w:val="24"/>
          <w:szCs w:val="24"/>
        </w:rPr>
        <w:t>（二）语法</w:t>
      </w:r>
    </w:p>
    <w:p w14:paraId="07ABD5C2">
      <w:pPr>
        <w:spacing w:line="360" w:lineRule="auto"/>
        <w:ind w:firstLine="480" w:firstLineChars="200"/>
        <w:rPr>
          <w:rFonts w:ascii="宋体" w:hAnsi="宋体"/>
          <w:sz w:val="24"/>
          <w:szCs w:val="24"/>
        </w:rPr>
      </w:pPr>
      <w:r>
        <w:rPr>
          <w:rFonts w:hint="eastAsia" w:ascii="宋体" w:hAnsi="宋体"/>
          <w:sz w:val="24"/>
          <w:szCs w:val="24"/>
        </w:rPr>
        <w:t>掌握基本的英语语法知识，并在阅读、翻译和写作等过程中正确运用，达到正确理解、获取信息及表达思想的目的。</w:t>
      </w:r>
    </w:p>
    <w:p w14:paraId="59E56EED">
      <w:pPr>
        <w:spacing w:line="360" w:lineRule="auto"/>
        <w:ind w:firstLine="480" w:firstLineChars="200"/>
        <w:rPr>
          <w:rFonts w:ascii="宋体" w:hAnsi="宋体"/>
          <w:sz w:val="24"/>
          <w:szCs w:val="24"/>
        </w:rPr>
      </w:pPr>
      <w:r>
        <w:rPr>
          <w:rFonts w:hint="eastAsia" w:ascii="宋体" w:hAnsi="宋体"/>
          <w:sz w:val="24"/>
          <w:szCs w:val="24"/>
        </w:rPr>
        <w:t>需要掌握的具体内容如下：</w:t>
      </w:r>
    </w:p>
    <w:p w14:paraId="43A3608B">
      <w:pPr>
        <w:spacing w:line="360" w:lineRule="auto"/>
        <w:ind w:firstLine="480" w:firstLineChars="200"/>
        <w:rPr>
          <w:rFonts w:ascii="宋体" w:hAnsi="宋体"/>
          <w:sz w:val="24"/>
          <w:szCs w:val="24"/>
        </w:rPr>
      </w:pPr>
      <w:r>
        <w:rPr>
          <w:rFonts w:hint="eastAsia" w:ascii="宋体" w:hAnsi="宋体"/>
          <w:sz w:val="24"/>
          <w:szCs w:val="24"/>
        </w:rPr>
        <w:t>1.名词、代词的数和格的构成及其用法；</w:t>
      </w:r>
    </w:p>
    <w:p w14:paraId="64D972A8">
      <w:pPr>
        <w:spacing w:line="360" w:lineRule="auto"/>
        <w:ind w:firstLine="480" w:firstLineChars="200"/>
        <w:rPr>
          <w:rFonts w:ascii="宋体" w:hAnsi="宋体"/>
          <w:sz w:val="24"/>
          <w:szCs w:val="24"/>
        </w:rPr>
      </w:pPr>
      <w:r>
        <w:rPr>
          <w:rFonts w:hint="eastAsia" w:ascii="宋体" w:hAnsi="宋体"/>
          <w:sz w:val="24"/>
          <w:szCs w:val="24"/>
        </w:rPr>
        <w:t>2.动词的基本时态、语态的构成及其用法；</w:t>
      </w:r>
    </w:p>
    <w:p w14:paraId="2EA5568B">
      <w:pPr>
        <w:spacing w:line="360" w:lineRule="auto"/>
        <w:ind w:firstLine="480" w:firstLineChars="200"/>
        <w:rPr>
          <w:rFonts w:ascii="宋体" w:hAnsi="宋体"/>
          <w:sz w:val="24"/>
          <w:szCs w:val="24"/>
        </w:rPr>
      </w:pPr>
      <w:r>
        <w:rPr>
          <w:rFonts w:hint="eastAsia" w:ascii="宋体" w:hAnsi="宋体"/>
          <w:sz w:val="24"/>
          <w:szCs w:val="24"/>
        </w:rPr>
        <w:t>3.形容词、副词的比较级和最高级的构成及其用法；</w:t>
      </w:r>
    </w:p>
    <w:p w14:paraId="1F5A25C4">
      <w:pPr>
        <w:spacing w:line="360" w:lineRule="auto"/>
        <w:ind w:firstLine="480" w:firstLineChars="200"/>
        <w:rPr>
          <w:rFonts w:ascii="宋体" w:hAnsi="宋体"/>
          <w:sz w:val="24"/>
          <w:szCs w:val="24"/>
        </w:rPr>
      </w:pPr>
      <w:r>
        <w:rPr>
          <w:rFonts w:hint="eastAsia" w:ascii="宋体" w:hAnsi="宋体"/>
          <w:sz w:val="24"/>
          <w:szCs w:val="24"/>
        </w:rPr>
        <w:t>4.常用连接词、冠词的词义及其用法；</w:t>
      </w:r>
    </w:p>
    <w:p w14:paraId="7DD5D70A">
      <w:pPr>
        <w:spacing w:line="360" w:lineRule="auto"/>
        <w:ind w:firstLine="480" w:firstLineChars="200"/>
        <w:rPr>
          <w:rFonts w:ascii="宋体" w:hAnsi="宋体"/>
          <w:sz w:val="24"/>
          <w:szCs w:val="24"/>
        </w:rPr>
      </w:pPr>
      <w:r>
        <w:rPr>
          <w:rFonts w:hint="eastAsia" w:ascii="宋体" w:hAnsi="宋体"/>
          <w:sz w:val="24"/>
          <w:szCs w:val="24"/>
        </w:rPr>
        <w:t>5.非谓语动词（不定式、动名词、分词）的构成及其用法；</w:t>
      </w:r>
    </w:p>
    <w:p w14:paraId="67E24A4C">
      <w:pPr>
        <w:spacing w:line="360" w:lineRule="auto"/>
        <w:ind w:firstLine="480" w:firstLineChars="200"/>
        <w:rPr>
          <w:rFonts w:ascii="宋体" w:hAnsi="宋体"/>
          <w:sz w:val="24"/>
          <w:szCs w:val="24"/>
        </w:rPr>
      </w:pPr>
      <w:r>
        <w:rPr>
          <w:rFonts w:hint="eastAsia" w:ascii="宋体" w:hAnsi="宋体"/>
          <w:sz w:val="24"/>
          <w:szCs w:val="24"/>
        </w:rPr>
        <w:t>6.虚拟语气的构成及其用法；</w:t>
      </w:r>
    </w:p>
    <w:p w14:paraId="463EF95F">
      <w:pPr>
        <w:spacing w:line="360" w:lineRule="auto"/>
        <w:ind w:firstLine="480" w:firstLineChars="200"/>
        <w:rPr>
          <w:rFonts w:ascii="宋体" w:hAnsi="宋体"/>
          <w:sz w:val="24"/>
          <w:szCs w:val="24"/>
        </w:rPr>
      </w:pPr>
      <w:r>
        <w:rPr>
          <w:rFonts w:hint="eastAsia" w:ascii="宋体" w:hAnsi="宋体"/>
          <w:sz w:val="24"/>
          <w:szCs w:val="24"/>
        </w:rPr>
        <w:t>7.各类从句的构成及其用法；</w:t>
      </w:r>
    </w:p>
    <w:p w14:paraId="63FD8DEE">
      <w:pPr>
        <w:spacing w:line="360" w:lineRule="auto"/>
        <w:ind w:firstLine="480" w:firstLineChars="200"/>
        <w:rPr>
          <w:rFonts w:ascii="宋体" w:hAnsi="宋体"/>
          <w:sz w:val="24"/>
          <w:szCs w:val="24"/>
        </w:rPr>
      </w:pPr>
      <w:r>
        <w:rPr>
          <w:rFonts w:hint="eastAsia" w:ascii="宋体" w:hAnsi="宋体"/>
          <w:sz w:val="24"/>
          <w:szCs w:val="24"/>
        </w:rPr>
        <w:t>8.主动及被动语态的构成及其用法；</w:t>
      </w:r>
    </w:p>
    <w:p w14:paraId="78725312">
      <w:pPr>
        <w:spacing w:line="360" w:lineRule="auto"/>
        <w:ind w:firstLine="480" w:firstLineChars="200"/>
        <w:rPr>
          <w:rFonts w:ascii="宋体" w:hAnsi="宋体"/>
          <w:sz w:val="24"/>
          <w:szCs w:val="24"/>
        </w:rPr>
      </w:pPr>
      <w:r>
        <w:rPr>
          <w:rFonts w:hint="eastAsia" w:ascii="宋体" w:hAnsi="宋体"/>
          <w:sz w:val="24"/>
          <w:szCs w:val="24"/>
        </w:rPr>
        <w:t>9. 强调句的结构及其用法；</w:t>
      </w:r>
    </w:p>
    <w:p w14:paraId="7739C247">
      <w:pPr>
        <w:spacing w:line="360" w:lineRule="auto"/>
        <w:ind w:firstLine="480" w:firstLineChars="200"/>
        <w:rPr>
          <w:rFonts w:ascii="宋体" w:hAnsi="宋体"/>
          <w:sz w:val="24"/>
          <w:szCs w:val="24"/>
        </w:rPr>
      </w:pPr>
      <w:r>
        <w:rPr>
          <w:rFonts w:hint="eastAsia" w:ascii="宋体" w:hAnsi="宋体"/>
          <w:sz w:val="24"/>
          <w:szCs w:val="24"/>
        </w:rPr>
        <w:t>10.倒装句的结构及其用法。</w:t>
      </w:r>
    </w:p>
    <w:p w14:paraId="14E9F644">
      <w:pPr>
        <w:spacing w:line="360" w:lineRule="auto"/>
        <w:ind w:firstLine="482" w:firstLineChars="200"/>
        <w:rPr>
          <w:rFonts w:ascii="宋体" w:hAnsi="宋体"/>
          <w:b/>
          <w:sz w:val="24"/>
          <w:szCs w:val="24"/>
        </w:rPr>
      </w:pPr>
      <w:r>
        <w:rPr>
          <w:rFonts w:hint="eastAsia" w:ascii="宋体" w:hAnsi="宋体"/>
          <w:b/>
          <w:sz w:val="24"/>
          <w:szCs w:val="24"/>
        </w:rPr>
        <w:t>（三）阅读</w:t>
      </w:r>
    </w:p>
    <w:p w14:paraId="0C3E41EB">
      <w:pPr>
        <w:spacing w:line="360" w:lineRule="auto"/>
        <w:ind w:firstLine="480" w:firstLineChars="200"/>
        <w:rPr>
          <w:rFonts w:ascii="宋体" w:hAnsi="宋体"/>
          <w:sz w:val="24"/>
          <w:szCs w:val="24"/>
        </w:rPr>
      </w:pPr>
      <w:r>
        <w:rPr>
          <w:rFonts w:hint="eastAsia" w:ascii="宋体" w:hAnsi="宋体"/>
          <w:sz w:val="24"/>
          <w:szCs w:val="24"/>
        </w:rPr>
        <w:t>能够综合运用英语知识和基本阅读技能，读懂难度适中的一般性题材（经济、社会、政法、历史、科普、管理等）和体裁（记叙文、议论文、说明文、应用文等）的英语文章。</w:t>
      </w:r>
    </w:p>
    <w:p w14:paraId="06E7E14F">
      <w:pPr>
        <w:spacing w:line="360" w:lineRule="auto"/>
        <w:rPr>
          <w:rFonts w:ascii="宋体" w:hAnsi="宋体"/>
          <w:sz w:val="24"/>
          <w:szCs w:val="24"/>
        </w:rPr>
      </w:pPr>
      <w:r>
        <w:rPr>
          <w:rFonts w:hint="eastAsia" w:ascii="宋体" w:hAnsi="宋体"/>
          <w:sz w:val="24"/>
          <w:szCs w:val="24"/>
        </w:rPr>
        <w:t>具体要求为：</w:t>
      </w:r>
    </w:p>
    <w:p w14:paraId="29E9DE29">
      <w:pPr>
        <w:spacing w:line="360" w:lineRule="auto"/>
        <w:ind w:firstLine="480" w:firstLineChars="200"/>
        <w:rPr>
          <w:rFonts w:ascii="宋体" w:hAnsi="宋体"/>
          <w:sz w:val="24"/>
          <w:szCs w:val="24"/>
        </w:rPr>
      </w:pPr>
      <w:r>
        <w:rPr>
          <w:rFonts w:hint="eastAsia" w:ascii="宋体" w:hAnsi="宋体"/>
          <w:sz w:val="24"/>
          <w:szCs w:val="24"/>
        </w:rPr>
        <w:t>1.能够掌握文章的中心思想、主要内容和细节；</w:t>
      </w:r>
    </w:p>
    <w:p w14:paraId="5EBAED0E">
      <w:pPr>
        <w:spacing w:line="360" w:lineRule="auto"/>
        <w:ind w:firstLine="480" w:firstLineChars="200"/>
        <w:rPr>
          <w:rFonts w:ascii="宋体" w:hAnsi="宋体"/>
          <w:sz w:val="24"/>
          <w:szCs w:val="24"/>
        </w:rPr>
      </w:pPr>
      <w:r>
        <w:rPr>
          <w:rFonts w:hint="eastAsia" w:ascii="宋体" w:hAnsi="宋体"/>
          <w:sz w:val="24"/>
          <w:szCs w:val="24"/>
        </w:rPr>
        <w:t>2.具备根据上下文把握词义的能力，理解上下文的逻辑关系；</w:t>
      </w:r>
    </w:p>
    <w:p w14:paraId="309BB3FB">
      <w:pPr>
        <w:spacing w:line="360" w:lineRule="auto"/>
        <w:ind w:firstLine="480" w:firstLineChars="200"/>
        <w:rPr>
          <w:rFonts w:ascii="宋体" w:hAnsi="宋体"/>
          <w:sz w:val="24"/>
          <w:szCs w:val="24"/>
        </w:rPr>
      </w:pPr>
      <w:r>
        <w:rPr>
          <w:rFonts w:hint="eastAsia" w:ascii="宋体" w:hAnsi="宋体"/>
          <w:sz w:val="24"/>
          <w:szCs w:val="24"/>
        </w:rPr>
        <w:t>3.能够根据所读材料进行一定的推论；</w:t>
      </w:r>
    </w:p>
    <w:p w14:paraId="5C982E26">
      <w:pPr>
        <w:spacing w:line="360" w:lineRule="auto"/>
        <w:ind w:firstLine="480" w:firstLineChars="200"/>
        <w:rPr>
          <w:rFonts w:ascii="宋体" w:hAnsi="宋体"/>
          <w:sz w:val="24"/>
          <w:szCs w:val="24"/>
        </w:rPr>
      </w:pPr>
      <w:r>
        <w:rPr>
          <w:rFonts w:hint="eastAsia" w:ascii="宋体" w:hAnsi="宋体"/>
          <w:sz w:val="24"/>
          <w:szCs w:val="24"/>
        </w:rPr>
        <w:t>4.能够对文章的结构和作者的态度等做出分析和判断。</w:t>
      </w:r>
    </w:p>
    <w:p w14:paraId="4123ED4A">
      <w:pPr>
        <w:spacing w:line="360" w:lineRule="auto"/>
        <w:ind w:firstLine="361" w:firstLineChars="150"/>
        <w:rPr>
          <w:rFonts w:ascii="宋体" w:hAnsi="宋体"/>
          <w:b/>
          <w:sz w:val="24"/>
          <w:szCs w:val="24"/>
        </w:rPr>
      </w:pPr>
      <w:r>
        <w:rPr>
          <w:rFonts w:hint="eastAsia" w:ascii="宋体" w:hAnsi="宋体"/>
          <w:b/>
          <w:sz w:val="24"/>
          <w:szCs w:val="24"/>
        </w:rPr>
        <w:t>（四）翻译</w:t>
      </w:r>
    </w:p>
    <w:p w14:paraId="58C33EB0">
      <w:pPr>
        <w:spacing w:line="360" w:lineRule="auto"/>
        <w:ind w:firstLine="480" w:firstLineChars="200"/>
        <w:rPr>
          <w:rFonts w:ascii="宋体" w:hAnsi="宋体"/>
          <w:sz w:val="24"/>
          <w:szCs w:val="24"/>
        </w:rPr>
      </w:pPr>
      <w:r>
        <w:rPr>
          <w:rFonts w:hint="eastAsia" w:ascii="宋体" w:hAnsi="宋体"/>
          <w:sz w:val="24"/>
          <w:szCs w:val="24"/>
        </w:rPr>
        <w:t>能够在不借助词典的情况下将一般难度、非专业性题材的汉语句子翻译成英语，译文通顺，用词基本正确，无重大语法错误。</w:t>
      </w:r>
    </w:p>
    <w:p w14:paraId="4883F7B3">
      <w:pPr>
        <w:spacing w:line="360" w:lineRule="auto"/>
        <w:ind w:firstLine="361" w:firstLineChars="150"/>
        <w:rPr>
          <w:rFonts w:ascii="宋体" w:hAnsi="宋体"/>
          <w:b/>
          <w:sz w:val="24"/>
          <w:szCs w:val="24"/>
        </w:rPr>
      </w:pPr>
      <w:r>
        <w:rPr>
          <w:rFonts w:hint="eastAsia" w:ascii="宋体" w:hAnsi="宋体"/>
          <w:b/>
          <w:sz w:val="24"/>
          <w:szCs w:val="24"/>
        </w:rPr>
        <w:t>（五）写作</w:t>
      </w:r>
    </w:p>
    <w:p w14:paraId="640B54F8">
      <w:pPr>
        <w:spacing w:line="360" w:lineRule="auto"/>
        <w:ind w:firstLine="480" w:firstLineChars="200"/>
        <w:rPr>
          <w:rFonts w:ascii="宋体" w:hAnsi="宋体"/>
          <w:sz w:val="24"/>
          <w:szCs w:val="24"/>
        </w:rPr>
      </w:pPr>
      <w:r>
        <w:rPr>
          <w:rFonts w:hint="eastAsia" w:ascii="宋体" w:hAnsi="宋体"/>
          <w:sz w:val="24"/>
          <w:szCs w:val="24"/>
        </w:rPr>
        <w:t>能够用英语按照所给提纲或情景，说明或论述一般性的话题。所写短文要求主题明确，条理清楚，语言规范。</w:t>
      </w:r>
    </w:p>
    <w:p w14:paraId="32457C4B">
      <w:pPr>
        <w:spacing w:line="360" w:lineRule="auto"/>
        <w:rPr>
          <w:rFonts w:ascii="宋体" w:hAnsi="宋体"/>
          <w:b/>
          <w:sz w:val="24"/>
          <w:szCs w:val="24"/>
        </w:rPr>
      </w:pPr>
      <w:r>
        <w:rPr>
          <w:rFonts w:hint="eastAsia" w:ascii="宋体" w:hAnsi="宋体"/>
          <w:b/>
          <w:sz w:val="24"/>
          <w:szCs w:val="24"/>
        </w:rPr>
        <w:t>三、试卷结构</w:t>
      </w:r>
    </w:p>
    <w:p w14:paraId="7253AE35">
      <w:pPr>
        <w:spacing w:line="360" w:lineRule="auto"/>
        <w:ind w:firstLine="480" w:firstLineChars="200"/>
        <w:rPr>
          <w:rFonts w:ascii="宋体" w:hAnsi="宋体"/>
          <w:sz w:val="24"/>
          <w:szCs w:val="24"/>
        </w:rPr>
      </w:pPr>
      <w:r>
        <w:rPr>
          <w:rFonts w:hint="eastAsia" w:ascii="宋体" w:hAnsi="宋体"/>
          <w:sz w:val="24"/>
          <w:szCs w:val="24"/>
        </w:rPr>
        <w:t>试卷题型分为五个部分：词汇和语法、完形填空、阅读理解、句子翻译和短文写作。</w:t>
      </w:r>
    </w:p>
    <w:p w14:paraId="71BDEC21">
      <w:pPr>
        <w:spacing w:line="360" w:lineRule="auto"/>
        <w:ind w:firstLine="482" w:firstLineChars="200"/>
        <w:rPr>
          <w:rFonts w:ascii="宋体" w:hAnsi="宋体"/>
          <w:b/>
          <w:sz w:val="24"/>
          <w:szCs w:val="24"/>
        </w:rPr>
      </w:pPr>
      <w:r>
        <w:rPr>
          <w:rFonts w:hint="eastAsia" w:ascii="宋体" w:hAnsi="宋体"/>
          <w:b/>
          <w:sz w:val="24"/>
          <w:szCs w:val="24"/>
        </w:rPr>
        <w:t>第一部分：词汇和语法</w:t>
      </w:r>
    </w:p>
    <w:p w14:paraId="283133BA">
      <w:pPr>
        <w:spacing w:line="360" w:lineRule="auto"/>
        <w:ind w:firstLine="480" w:firstLineChars="200"/>
        <w:rPr>
          <w:rFonts w:ascii="宋体" w:hAnsi="宋体"/>
          <w:sz w:val="24"/>
          <w:szCs w:val="24"/>
        </w:rPr>
      </w:pPr>
      <w:r>
        <w:rPr>
          <w:rFonts w:hint="eastAsia" w:ascii="宋体" w:hAnsi="宋体"/>
          <w:sz w:val="24"/>
          <w:szCs w:val="24"/>
        </w:rPr>
        <w:t>本部分共设20题。每一题中有一个空白，要求考生在理解句意的基础上在4个选择项中选择一个最佳答案。本部分满分为20分，每题1分。</w:t>
      </w:r>
    </w:p>
    <w:p w14:paraId="207A13C8">
      <w:pPr>
        <w:spacing w:line="360" w:lineRule="auto"/>
        <w:ind w:firstLine="482" w:firstLineChars="200"/>
        <w:rPr>
          <w:rFonts w:ascii="宋体" w:hAnsi="宋体"/>
          <w:b/>
          <w:sz w:val="24"/>
          <w:szCs w:val="24"/>
        </w:rPr>
      </w:pPr>
      <w:r>
        <w:rPr>
          <w:rFonts w:hint="eastAsia" w:ascii="宋体" w:hAnsi="宋体"/>
          <w:b/>
          <w:sz w:val="24"/>
          <w:szCs w:val="24"/>
        </w:rPr>
        <w:t>第二部分：完形填空</w:t>
      </w:r>
    </w:p>
    <w:p w14:paraId="649E6474">
      <w:pPr>
        <w:spacing w:line="360" w:lineRule="auto"/>
        <w:ind w:firstLine="480" w:firstLineChars="200"/>
        <w:rPr>
          <w:rFonts w:ascii="宋体" w:hAnsi="宋体"/>
          <w:sz w:val="24"/>
          <w:szCs w:val="24"/>
        </w:rPr>
      </w:pPr>
      <w:r>
        <w:rPr>
          <w:rFonts w:hint="eastAsia" w:ascii="宋体" w:hAnsi="宋体"/>
          <w:sz w:val="24"/>
          <w:szCs w:val="24"/>
        </w:rPr>
        <w:t>本部分共设15题。在一篇难度适中的短文中留有15个空白，每个空白为一题，每题有四个选择项，要求考生在全面理解内容的基础上选择一个最佳答案，使短文的意思和结构恢复完整。本部分满分为15分，每题1分。</w:t>
      </w:r>
    </w:p>
    <w:p w14:paraId="4104C28E">
      <w:pPr>
        <w:spacing w:line="360" w:lineRule="auto"/>
        <w:ind w:firstLine="482" w:firstLineChars="200"/>
        <w:rPr>
          <w:rFonts w:ascii="宋体" w:hAnsi="宋体"/>
          <w:b/>
          <w:sz w:val="24"/>
          <w:szCs w:val="24"/>
        </w:rPr>
      </w:pPr>
      <w:r>
        <w:rPr>
          <w:rFonts w:hint="eastAsia" w:ascii="宋体" w:hAnsi="宋体"/>
          <w:b/>
          <w:sz w:val="24"/>
          <w:szCs w:val="24"/>
        </w:rPr>
        <w:t>第三部分：阅读理解</w:t>
      </w:r>
    </w:p>
    <w:p w14:paraId="67DA46AB">
      <w:pPr>
        <w:spacing w:line="360" w:lineRule="auto"/>
        <w:ind w:firstLine="480" w:firstLineChars="200"/>
        <w:rPr>
          <w:rFonts w:ascii="宋体" w:hAnsi="宋体"/>
          <w:sz w:val="24"/>
          <w:szCs w:val="24"/>
        </w:rPr>
      </w:pPr>
      <w:r>
        <w:rPr>
          <w:rFonts w:hint="eastAsia" w:ascii="宋体" w:hAnsi="宋体"/>
          <w:sz w:val="24"/>
          <w:szCs w:val="24"/>
        </w:rPr>
        <w:t>本部分共有3篇短文，总阅读量为1500个单词左右。每篇短文后设5题，共15题。考生须在理解文章的基础上从每题所给的4个选择项中选择一个最佳答案。本部分满分为30分，每题2分。</w:t>
      </w:r>
    </w:p>
    <w:p w14:paraId="43968FF6">
      <w:pPr>
        <w:spacing w:line="360" w:lineRule="auto"/>
        <w:ind w:firstLine="482" w:firstLineChars="200"/>
        <w:rPr>
          <w:rFonts w:ascii="宋体" w:hAnsi="宋体"/>
          <w:b/>
          <w:sz w:val="24"/>
          <w:szCs w:val="24"/>
        </w:rPr>
      </w:pPr>
      <w:r>
        <w:rPr>
          <w:rFonts w:hint="eastAsia" w:ascii="宋体" w:hAnsi="宋体"/>
          <w:b/>
          <w:sz w:val="24"/>
          <w:szCs w:val="24"/>
        </w:rPr>
        <w:t>第四部分：汉译英</w:t>
      </w:r>
    </w:p>
    <w:p w14:paraId="55F1526A">
      <w:pPr>
        <w:spacing w:line="360" w:lineRule="auto"/>
        <w:ind w:firstLine="480" w:firstLineChars="200"/>
        <w:rPr>
          <w:rFonts w:ascii="宋体" w:hAnsi="宋体"/>
          <w:sz w:val="24"/>
          <w:szCs w:val="24"/>
        </w:rPr>
      </w:pPr>
      <w:r>
        <w:rPr>
          <w:rFonts w:hint="eastAsia" w:ascii="宋体" w:hAnsi="宋体"/>
          <w:sz w:val="24"/>
          <w:szCs w:val="24"/>
        </w:rPr>
        <w:t>本部分共有5个汉语句子，要求考生翻译成英语。要求译文意思准确，文字通顺。本部分满分为15分，每题3分。</w:t>
      </w:r>
    </w:p>
    <w:p w14:paraId="302E9E75">
      <w:pPr>
        <w:spacing w:line="360" w:lineRule="auto"/>
        <w:ind w:firstLine="482" w:firstLineChars="200"/>
        <w:rPr>
          <w:rFonts w:ascii="宋体" w:hAnsi="宋体"/>
          <w:b/>
          <w:sz w:val="24"/>
          <w:szCs w:val="24"/>
        </w:rPr>
      </w:pPr>
      <w:r>
        <w:rPr>
          <w:rFonts w:hint="eastAsia" w:ascii="宋体" w:hAnsi="宋体"/>
          <w:b/>
          <w:sz w:val="24"/>
          <w:szCs w:val="24"/>
        </w:rPr>
        <w:t>第五部分：短文写作</w:t>
      </w:r>
    </w:p>
    <w:p w14:paraId="00B87287">
      <w:pPr>
        <w:spacing w:line="360" w:lineRule="auto"/>
        <w:ind w:firstLine="480" w:firstLineChars="200"/>
        <w:rPr>
          <w:rFonts w:ascii="宋体" w:hAnsi="宋体"/>
          <w:sz w:val="24"/>
          <w:szCs w:val="24"/>
        </w:rPr>
      </w:pPr>
      <w:r>
        <w:rPr>
          <w:rFonts w:hint="eastAsia" w:ascii="宋体" w:hAnsi="宋体"/>
          <w:sz w:val="24"/>
          <w:szCs w:val="24"/>
        </w:rPr>
        <w:t>本部分共1题，要求考生根据题目要求和所给提纲的提示，说明或论述一个一般性话题，文章长度不低于100个英文单词。本部分满分为20分。</w:t>
      </w:r>
    </w:p>
    <w:p w14:paraId="2D0C2288">
      <w:pPr>
        <w:spacing w:line="360" w:lineRule="auto"/>
        <w:rPr>
          <w:rFonts w:ascii="宋体" w:hAnsi="宋体"/>
          <w:sz w:val="24"/>
          <w:szCs w:val="24"/>
        </w:rPr>
      </w:pPr>
    </w:p>
    <w:p w14:paraId="2AF4C7C5">
      <w:pPr>
        <w:spacing w:line="360" w:lineRule="auto"/>
        <w:rPr>
          <w:rFonts w:ascii="宋体" w:hAnsi="宋体"/>
          <w:sz w:val="24"/>
          <w:szCs w:val="24"/>
        </w:rPr>
      </w:pPr>
      <w:r>
        <w:rPr>
          <w:rFonts w:hint="eastAsia" w:ascii="宋体" w:hAnsi="宋体"/>
          <w:sz w:val="24"/>
          <w:szCs w:val="24"/>
        </w:rPr>
        <w:t xml:space="preserve">           附：试卷题型、题量、计分及</w:t>
      </w:r>
      <w:r>
        <w:rPr>
          <w:rFonts w:hint="eastAsia" w:ascii="宋体" w:hAnsi="宋体"/>
          <w:b/>
          <w:sz w:val="24"/>
          <w:szCs w:val="24"/>
        </w:rPr>
        <w:t>考试时间</w:t>
      </w:r>
      <w:r>
        <w:rPr>
          <w:rFonts w:hint="eastAsia" w:ascii="宋体" w:hAnsi="宋体"/>
          <w:sz w:val="24"/>
          <w:szCs w:val="24"/>
        </w:rPr>
        <w:t>分配表</w:t>
      </w:r>
    </w:p>
    <w:tbl>
      <w:tblPr>
        <w:tblStyle w:val="6"/>
        <w:tblW w:w="0" w:type="auto"/>
        <w:jc w:val="center"/>
        <w:shd w:val="clear" w:color="auto" w:fill="FFFFFF"/>
        <w:tblLayout w:type="fixed"/>
        <w:tblCellMar>
          <w:top w:w="0" w:type="dxa"/>
          <w:left w:w="0" w:type="dxa"/>
          <w:bottom w:w="0" w:type="dxa"/>
          <w:right w:w="0" w:type="dxa"/>
        </w:tblCellMar>
      </w:tblPr>
      <w:tblGrid>
        <w:gridCol w:w="1416"/>
        <w:gridCol w:w="1702"/>
        <w:gridCol w:w="1419"/>
        <w:gridCol w:w="1416"/>
        <w:gridCol w:w="2207"/>
      </w:tblGrid>
      <w:tr w14:paraId="7427443C">
        <w:tblPrEx>
          <w:shd w:val="clear" w:color="auto" w:fill="FFFFFF"/>
          <w:tblCellMar>
            <w:top w:w="0" w:type="dxa"/>
            <w:left w:w="0" w:type="dxa"/>
            <w:bottom w:w="0" w:type="dxa"/>
            <w:right w:w="0" w:type="dxa"/>
          </w:tblCellMar>
        </w:tblPrEx>
        <w:trPr>
          <w:trHeight w:val="336" w:hRule="atLeast"/>
          <w:jc w:val="center"/>
        </w:trPr>
        <w:tc>
          <w:tcPr>
            <w:tcW w:w="1416" w:type="dxa"/>
            <w:tcBorders>
              <w:top w:val="single" w:color="000000" w:sz="8" w:space="0"/>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5EFF310">
            <w:pPr>
              <w:spacing w:line="360" w:lineRule="auto"/>
              <w:jc w:val="center"/>
              <w:rPr>
                <w:rFonts w:ascii="宋体" w:hAnsi="宋体"/>
                <w:sz w:val="24"/>
                <w:szCs w:val="24"/>
              </w:rPr>
            </w:pPr>
            <w:r>
              <w:rPr>
                <w:rFonts w:ascii="宋体" w:hAnsi="宋体"/>
                <w:sz w:val="24"/>
                <w:szCs w:val="24"/>
              </w:rPr>
              <w:t>序号</w:t>
            </w:r>
          </w:p>
        </w:tc>
        <w:tc>
          <w:tcPr>
            <w:tcW w:w="1702" w:type="dxa"/>
            <w:tcBorders>
              <w:top w:val="single" w:color="000000" w:sz="8" w:space="0"/>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4855DBAF">
            <w:pPr>
              <w:spacing w:line="360" w:lineRule="auto"/>
              <w:jc w:val="center"/>
              <w:rPr>
                <w:rFonts w:ascii="宋体" w:hAnsi="宋体"/>
                <w:sz w:val="24"/>
                <w:szCs w:val="24"/>
              </w:rPr>
            </w:pPr>
            <w:r>
              <w:rPr>
                <w:rFonts w:ascii="宋体" w:hAnsi="宋体"/>
                <w:sz w:val="24"/>
                <w:szCs w:val="24"/>
              </w:rPr>
              <w:t>题型</w:t>
            </w:r>
          </w:p>
        </w:tc>
        <w:tc>
          <w:tcPr>
            <w:tcW w:w="1419" w:type="dxa"/>
            <w:tcBorders>
              <w:top w:val="single" w:color="000000" w:sz="8" w:space="0"/>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6A5BD9B8">
            <w:pPr>
              <w:spacing w:line="360" w:lineRule="auto"/>
              <w:jc w:val="center"/>
              <w:rPr>
                <w:rFonts w:ascii="宋体" w:hAnsi="宋体"/>
                <w:sz w:val="24"/>
                <w:szCs w:val="24"/>
              </w:rPr>
            </w:pPr>
            <w:r>
              <w:rPr>
                <w:rFonts w:ascii="宋体" w:hAnsi="宋体"/>
                <w:sz w:val="24"/>
                <w:szCs w:val="24"/>
              </w:rPr>
              <w:t>题量</w:t>
            </w:r>
            <w:r>
              <w:rPr>
                <w:rFonts w:hint="eastAsia" w:ascii="宋体" w:hAnsi="宋体"/>
                <w:sz w:val="24"/>
                <w:szCs w:val="24"/>
              </w:rPr>
              <w:t>（题）</w:t>
            </w:r>
          </w:p>
        </w:tc>
        <w:tc>
          <w:tcPr>
            <w:tcW w:w="1416" w:type="dxa"/>
            <w:tcBorders>
              <w:top w:val="single" w:color="000000" w:sz="8" w:space="0"/>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4B8106AF">
            <w:pPr>
              <w:spacing w:line="360" w:lineRule="auto"/>
              <w:jc w:val="center"/>
              <w:rPr>
                <w:rFonts w:ascii="宋体" w:hAnsi="宋体"/>
                <w:sz w:val="24"/>
                <w:szCs w:val="24"/>
              </w:rPr>
            </w:pPr>
            <w:r>
              <w:rPr>
                <w:rFonts w:ascii="宋体" w:hAnsi="宋体"/>
                <w:sz w:val="24"/>
                <w:szCs w:val="24"/>
              </w:rPr>
              <w:t>计分</w:t>
            </w:r>
            <w:r>
              <w:rPr>
                <w:rFonts w:hint="eastAsia" w:ascii="宋体" w:hAnsi="宋体"/>
                <w:sz w:val="24"/>
                <w:szCs w:val="24"/>
              </w:rPr>
              <w:t>(分)</w:t>
            </w:r>
          </w:p>
        </w:tc>
        <w:tc>
          <w:tcPr>
            <w:tcW w:w="2207" w:type="dxa"/>
            <w:tcBorders>
              <w:top w:val="single" w:color="000000" w:sz="8" w:space="0"/>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71A62712">
            <w:pPr>
              <w:spacing w:line="360" w:lineRule="auto"/>
              <w:jc w:val="center"/>
              <w:rPr>
                <w:rFonts w:ascii="宋体" w:hAnsi="宋体"/>
                <w:sz w:val="24"/>
                <w:szCs w:val="24"/>
              </w:rPr>
            </w:pPr>
            <w:r>
              <w:rPr>
                <w:rFonts w:ascii="宋体" w:hAnsi="宋体"/>
                <w:sz w:val="24"/>
                <w:szCs w:val="24"/>
              </w:rPr>
              <w:t>时间（分钟）</w:t>
            </w:r>
          </w:p>
        </w:tc>
      </w:tr>
      <w:tr w14:paraId="51EA2049">
        <w:tblPrEx>
          <w:tblCellMar>
            <w:top w:w="0" w:type="dxa"/>
            <w:left w:w="0" w:type="dxa"/>
            <w:bottom w:w="0" w:type="dxa"/>
            <w:right w:w="0" w:type="dxa"/>
          </w:tblCellMar>
        </w:tblPrEx>
        <w:trPr>
          <w:trHeight w:val="324" w:hRule="atLeast"/>
          <w:jc w:val="center"/>
        </w:trPr>
        <w:tc>
          <w:tcPr>
            <w:tcW w:w="1416" w:type="dxa"/>
            <w:tcBorders>
              <w:top w:val="nil"/>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36B6924B">
            <w:pPr>
              <w:spacing w:line="360" w:lineRule="auto"/>
              <w:jc w:val="center"/>
              <w:rPr>
                <w:rFonts w:ascii="宋体" w:hAnsi="宋体"/>
                <w:sz w:val="24"/>
                <w:szCs w:val="24"/>
              </w:rPr>
            </w:pPr>
            <w:r>
              <w:rPr>
                <w:rFonts w:ascii="宋体" w:hAnsi="宋体"/>
                <w:sz w:val="24"/>
                <w:szCs w:val="24"/>
              </w:rPr>
              <w:t>I</w:t>
            </w:r>
          </w:p>
        </w:tc>
        <w:tc>
          <w:tcPr>
            <w:tcW w:w="1702"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516ED11C">
            <w:pPr>
              <w:spacing w:line="360" w:lineRule="auto"/>
              <w:jc w:val="center"/>
              <w:rPr>
                <w:rFonts w:ascii="宋体" w:hAnsi="宋体"/>
                <w:sz w:val="24"/>
                <w:szCs w:val="24"/>
              </w:rPr>
            </w:pPr>
            <w:r>
              <w:rPr>
                <w:rFonts w:ascii="宋体" w:hAnsi="宋体"/>
                <w:sz w:val="24"/>
                <w:szCs w:val="24"/>
              </w:rPr>
              <w:t>词汇和语法</w:t>
            </w:r>
          </w:p>
        </w:tc>
        <w:tc>
          <w:tcPr>
            <w:tcW w:w="1419"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EA605B2">
            <w:pPr>
              <w:spacing w:line="360" w:lineRule="auto"/>
              <w:jc w:val="center"/>
              <w:rPr>
                <w:rFonts w:ascii="宋体" w:hAnsi="宋体"/>
                <w:sz w:val="24"/>
                <w:szCs w:val="24"/>
              </w:rPr>
            </w:pPr>
            <w:r>
              <w:rPr>
                <w:rFonts w:ascii="宋体" w:hAnsi="宋体"/>
                <w:sz w:val="24"/>
                <w:szCs w:val="24"/>
              </w:rPr>
              <w:t>20</w:t>
            </w:r>
          </w:p>
        </w:tc>
        <w:tc>
          <w:tcPr>
            <w:tcW w:w="1416"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633EA53D">
            <w:pPr>
              <w:spacing w:line="360" w:lineRule="auto"/>
              <w:jc w:val="center"/>
              <w:rPr>
                <w:rFonts w:ascii="宋体" w:hAnsi="宋体"/>
                <w:sz w:val="24"/>
                <w:szCs w:val="24"/>
              </w:rPr>
            </w:pPr>
            <w:r>
              <w:rPr>
                <w:rFonts w:hint="eastAsia" w:ascii="宋体" w:hAnsi="宋体"/>
                <w:sz w:val="24"/>
                <w:szCs w:val="24"/>
              </w:rPr>
              <w:t>20</w:t>
            </w:r>
          </w:p>
        </w:tc>
        <w:tc>
          <w:tcPr>
            <w:tcW w:w="2207"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5EBB2BD6">
            <w:pPr>
              <w:spacing w:line="360" w:lineRule="auto"/>
              <w:jc w:val="center"/>
              <w:rPr>
                <w:rFonts w:ascii="宋体" w:hAnsi="宋体"/>
                <w:sz w:val="24"/>
                <w:szCs w:val="24"/>
              </w:rPr>
            </w:pPr>
          </w:p>
        </w:tc>
      </w:tr>
      <w:tr w14:paraId="6C9B6E7D">
        <w:tblPrEx>
          <w:tblCellMar>
            <w:top w:w="0" w:type="dxa"/>
            <w:left w:w="0" w:type="dxa"/>
            <w:bottom w:w="0" w:type="dxa"/>
            <w:right w:w="0" w:type="dxa"/>
          </w:tblCellMar>
        </w:tblPrEx>
        <w:trPr>
          <w:trHeight w:val="322" w:hRule="atLeast"/>
          <w:jc w:val="center"/>
        </w:trPr>
        <w:tc>
          <w:tcPr>
            <w:tcW w:w="1416" w:type="dxa"/>
            <w:tcBorders>
              <w:top w:val="nil"/>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122C3E8A">
            <w:pPr>
              <w:spacing w:line="360" w:lineRule="auto"/>
              <w:jc w:val="center"/>
              <w:rPr>
                <w:rFonts w:ascii="宋体" w:hAnsi="宋体"/>
                <w:sz w:val="24"/>
                <w:szCs w:val="24"/>
              </w:rPr>
            </w:pPr>
            <w:r>
              <w:rPr>
                <w:rFonts w:ascii="宋体" w:hAnsi="宋体"/>
                <w:sz w:val="24"/>
                <w:szCs w:val="24"/>
              </w:rPr>
              <w:t>II</w:t>
            </w:r>
          </w:p>
        </w:tc>
        <w:tc>
          <w:tcPr>
            <w:tcW w:w="1702"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2AFCE4E8">
            <w:pPr>
              <w:spacing w:line="360" w:lineRule="auto"/>
              <w:jc w:val="center"/>
              <w:rPr>
                <w:rFonts w:ascii="宋体" w:hAnsi="宋体"/>
                <w:sz w:val="24"/>
                <w:szCs w:val="24"/>
              </w:rPr>
            </w:pPr>
            <w:r>
              <w:rPr>
                <w:rFonts w:ascii="宋体" w:hAnsi="宋体"/>
                <w:sz w:val="24"/>
                <w:szCs w:val="24"/>
              </w:rPr>
              <w:t>完形填空</w:t>
            </w:r>
          </w:p>
        </w:tc>
        <w:tc>
          <w:tcPr>
            <w:tcW w:w="1419"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231CF240">
            <w:pPr>
              <w:spacing w:line="360" w:lineRule="auto"/>
              <w:jc w:val="center"/>
              <w:rPr>
                <w:rFonts w:ascii="宋体" w:hAnsi="宋体"/>
                <w:sz w:val="24"/>
                <w:szCs w:val="24"/>
              </w:rPr>
            </w:pPr>
            <w:r>
              <w:rPr>
                <w:rFonts w:hint="eastAsia" w:ascii="宋体" w:hAnsi="宋体"/>
                <w:sz w:val="24"/>
                <w:szCs w:val="24"/>
              </w:rPr>
              <w:t>15</w:t>
            </w:r>
          </w:p>
        </w:tc>
        <w:tc>
          <w:tcPr>
            <w:tcW w:w="1416"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041501B">
            <w:pPr>
              <w:spacing w:line="360" w:lineRule="auto"/>
              <w:jc w:val="center"/>
              <w:rPr>
                <w:rFonts w:ascii="宋体" w:hAnsi="宋体"/>
                <w:sz w:val="24"/>
                <w:szCs w:val="24"/>
              </w:rPr>
            </w:pPr>
            <w:r>
              <w:rPr>
                <w:rFonts w:hint="eastAsia" w:ascii="宋体" w:hAnsi="宋体"/>
                <w:sz w:val="24"/>
                <w:szCs w:val="24"/>
              </w:rPr>
              <w:t>15</w:t>
            </w:r>
          </w:p>
        </w:tc>
        <w:tc>
          <w:tcPr>
            <w:tcW w:w="2207"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5DBB253">
            <w:pPr>
              <w:spacing w:line="360" w:lineRule="auto"/>
              <w:jc w:val="center"/>
              <w:rPr>
                <w:rFonts w:ascii="宋体" w:hAnsi="宋体"/>
                <w:sz w:val="24"/>
                <w:szCs w:val="24"/>
              </w:rPr>
            </w:pPr>
          </w:p>
        </w:tc>
      </w:tr>
      <w:tr w14:paraId="6B70C897">
        <w:tblPrEx>
          <w:tblCellMar>
            <w:top w:w="0" w:type="dxa"/>
            <w:left w:w="0" w:type="dxa"/>
            <w:bottom w:w="0" w:type="dxa"/>
            <w:right w:w="0" w:type="dxa"/>
          </w:tblCellMar>
        </w:tblPrEx>
        <w:trPr>
          <w:trHeight w:val="322" w:hRule="atLeast"/>
          <w:jc w:val="center"/>
        </w:trPr>
        <w:tc>
          <w:tcPr>
            <w:tcW w:w="1416" w:type="dxa"/>
            <w:tcBorders>
              <w:top w:val="nil"/>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6574A3BD">
            <w:pPr>
              <w:spacing w:line="360" w:lineRule="auto"/>
              <w:jc w:val="center"/>
              <w:rPr>
                <w:rFonts w:ascii="宋体" w:hAnsi="宋体"/>
                <w:sz w:val="24"/>
                <w:szCs w:val="24"/>
              </w:rPr>
            </w:pPr>
            <w:r>
              <w:rPr>
                <w:rFonts w:ascii="宋体" w:hAnsi="宋体"/>
                <w:sz w:val="24"/>
                <w:szCs w:val="24"/>
              </w:rPr>
              <w:t>III</w:t>
            </w:r>
          </w:p>
        </w:tc>
        <w:tc>
          <w:tcPr>
            <w:tcW w:w="1702"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2A7C5A1">
            <w:pPr>
              <w:spacing w:line="360" w:lineRule="auto"/>
              <w:jc w:val="center"/>
              <w:rPr>
                <w:rFonts w:ascii="宋体" w:hAnsi="宋体"/>
                <w:sz w:val="24"/>
                <w:szCs w:val="24"/>
              </w:rPr>
            </w:pPr>
            <w:r>
              <w:rPr>
                <w:rFonts w:ascii="宋体" w:hAnsi="宋体"/>
                <w:sz w:val="24"/>
                <w:szCs w:val="24"/>
              </w:rPr>
              <w:t>阅读理解</w:t>
            </w:r>
          </w:p>
        </w:tc>
        <w:tc>
          <w:tcPr>
            <w:tcW w:w="1419"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6DFC01CB">
            <w:pPr>
              <w:spacing w:line="360" w:lineRule="auto"/>
              <w:jc w:val="center"/>
              <w:rPr>
                <w:rFonts w:ascii="宋体" w:hAnsi="宋体"/>
                <w:sz w:val="24"/>
                <w:szCs w:val="24"/>
              </w:rPr>
            </w:pPr>
            <w:r>
              <w:rPr>
                <w:rFonts w:hint="eastAsia" w:ascii="宋体" w:hAnsi="宋体"/>
                <w:sz w:val="24"/>
                <w:szCs w:val="24"/>
              </w:rPr>
              <w:t>15</w:t>
            </w:r>
          </w:p>
        </w:tc>
        <w:tc>
          <w:tcPr>
            <w:tcW w:w="1416"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66AE75F0">
            <w:pPr>
              <w:spacing w:line="360" w:lineRule="auto"/>
              <w:jc w:val="center"/>
              <w:rPr>
                <w:rFonts w:ascii="宋体" w:hAnsi="宋体"/>
                <w:sz w:val="24"/>
                <w:szCs w:val="24"/>
              </w:rPr>
            </w:pPr>
            <w:r>
              <w:rPr>
                <w:rFonts w:hint="eastAsia" w:ascii="宋体" w:hAnsi="宋体"/>
                <w:sz w:val="24"/>
                <w:szCs w:val="24"/>
              </w:rPr>
              <w:t>30</w:t>
            </w:r>
          </w:p>
        </w:tc>
        <w:tc>
          <w:tcPr>
            <w:tcW w:w="2207"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5D2881CF">
            <w:pPr>
              <w:spacing w:line="360" w:lineRule="auto"/>
              <w:jc w:val="center"/>
              <w:rPr>
                <w:rFonts w:ascii="宋体" w:hAnsi="宋体"/>
                <w:sz w:val="24"/>
                <w:szCs w:val="24"/>
              </w:rPr>
            </w:pPr>
          </w:p>
        </w:tc>
      </w:tr>
      <w:tr w14:paraId="1800B038">
        <w:tblPrEx>
          <w:tblCellMar>
            <w:top w:w="0" w:type="dxa"/>
            <w:left w:w="0" w:type="dxa"/>
            <w:bottom w:w="0" w:type="dxa"/>
            <w:right w:w="0" w:type="dxa"/>
          </w:tblCellMar>
        </w:tblPrEx>
        <w:trPr>
          <w:trHeight w:val="322" w:hRule="atLeast"/>
          <w:jc w:val="center"/>
        </w:trPr>
        <w:tc>
          <w:tcPr>
            <w:tcW w:w="1416" w:type="dxa"/>
            <w:tcBorders>
              <w:top w:val="nil"/>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3BB476C6">
            <w:pPr>
              <w:spacing w:line="360" w:lineRule="auto"/>
              <w:jc w:val="center"/>
              <w:rPr>
                <w:rFonts w:ascii="宋体" w:hAnsi="宋体"/>
                <w:sz w:val="24"/>
                <w:szCs w:val="24"/>
              </w:rPr>
            </w:pPr>
            <w:r>
              <w:rPr>
                <w:rFonts w:ascii="宋体" w:hAnsi="宋体"/>
                <w:sz w:val="24"/>
                <w:szCs w:val="24"/>
              </w:rPr>
              <w:t>IV</w:t>
            </w:r>
          </w:p>
        </w:tc>
        <w:tc>
          <w:tcPr>
            <w:tcW w:w="1702"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2B2D1064">
            <w:pPr>
              <w:spacing w:line="360" w:lineRule="auto"/>
              <w:jc w:val="center"/>
              <w:rPr>
                <w:rFonts w:ascii="宋体" w:hAnsi="宋体"/>
                <w:sz w:val="24"/>
                <w:szCs w:val="24"/>
              </w:rPr>
            </w:pPr>
            <w:r>
              <w:rPr>
                <w:rFonts w:ascii="宋体" w:hAnsi="宋体"/>
                <w:sz w:val="24"/>
                <w:szCs w:val="24"/>
              </w:rPr>
              <w:t>句子汉译英</w:t>
            </w:r>
          </w:p>
        </w:tc>
        <w:tc>
          <w:tcPr>
            <w:tcW w:w="1419"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510AA0D7">
            <w:pPr>
              <w:spacing w:line="360" w:lineRule="auto"/>
              <w:jc w:val="center"/>
              <w:rPr>
                <w:rFonts w:ascii="宋体" w:hAnsi="宋体"/>
                <w:sz w:val="24"/>
                <w:szCs w:val="24"/>
              </w:rPr>
            </w:pPr>
            <w:r>
              <w:rPr>
                <w:rFonts w:ascii="宋体" w:hAnsi="宋体"/>
                <w:sz w:val="24"/>
                <w:szCs w:val="24"/>
              </w:rPr>
              <w:t>5</w:t>
            </w:r>
          </w:p>
        </w:tc>
        <w:tc>
          <w:tcPr>
            <w:tcW w:w="1416"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464ADF07">
            <w:pPr>
              <w:spacing w:line="360" w:lineRule="auto"/>
              <w:jc w:val="center"/>
              <w:rPr>
                <w:rFonts w:ascii="宋体" w:hAnsi="宋体"/>
                <w:sz w:val="24"/>
                <w:szCs w:val="24"/>
              </w:rPr>
            </w:pPr>
            <w:r>
              <w:rPr>
                <w:rFonts w:ascii="宋体" w:hAnsi="宋体"/>
                <w:sz w:val="24"/>
                <w:szCs w:val="24"/>
              </w:rPr>
              <w:t>15</w:t>
            </w:r>
          </w:p>
        </w:tc>
        <w:tc>
          <w:tcPr>
            <w:tcW w:w="2207"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4444CFD">
            <w:pPr>
              <w:spacing w:line="360" w:lineRule="auto"/>
              <w:jc w:val="center"/>
              <w:rPr>
                <w:rFonts w:ascii="宋体" w:hAnsi="宋体"/>
                <w:sz w:val="24"/>
                <w:szCs w:val="24"/>
              </w:rPr>
            </w:pPr>
          </w:p>
        </w:tc>
      </w:tr>
      <w:tr w14:paraId="37157E3C">
        <w:tblPrEx>
          <w:tblCellMar>
            <w:top w:w="0" w:type="dxa"/>
            <w:left w:w="0" w:type="dxa"/>
            <w:bottom w:w="0" w:type="dxa"/>
            <w:right w:w="0" w:type="dxa"/>
          </w:tblCellMar>
        </w:tblPrEx>
        <w:trPr>
          <w:trHeight w:val="322" w:hRule="atLeast"/>
          <w:jc w:val="center"/>
        </w:trPr>
        <w:tc>
          <w:tcPr>
            <w:tcW w:w="1416" w:type="dxa"/>
            <w:tcBorders>
              <w:top w:val="nil"/>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210F2DE6">
            <w:pPr>
              <w:spacing w:line="360" w:lineRule="auto"/>
              <w:jc w:val="center"/>
              <w:rPr>
                <w:rFonts w:ascii="宋体" w:hAnsi="宋体"/>
                <w:sz w:val="24"/>
                <w:szCs w:val="24"/>
              </w:rPr>
            </w:pPr>
            <w:r>
              <w:rPr>
                <w:rFonts w:ascii="宋体" w:hAnsi="宋体"/>
                <w:sz w:val="24"/>
                <w:szCs w:val="24"/>
              </w:rPr>
              <w:t>V</w:t>
            </w:r>
          </w:p>
        </w:tc>
        <w:tc>
          <w:tcPr>
            <w:tcW w:w="1702"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22DB504E">
            <w:pPr>
              <w:spacing w:line="360" w:lineRule="auto"/>
              <w:jc w:val="center"/>
              <w:rPr>
                <w:rFonts w:ascii="宋体" w:hAnsi="宋体"/>
                <w:sz w:val="24"/>
                <w:szCs w:val="24"/>
              </w:rPr>
            </w:pPr>
            <w:r>
              <w:rPr>
                <w:rFonts w:ascii="宋体" w:hAnsi="宋体"/>
                <w:sz w:val="24"/>
                <w:szCs w:val="24"/>
              </w:rPr>
              <w:t>短文写作</w:t>
            </w:r>
          </w:p>
        </w:tc>
        <w:tc>
          <w:tcPr>
            <w:tcW w:w="1419"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26FC5F22">
            <w:pPr>
              <w:spacing w:line="360" w:lineRule="auto"/>
              <w:jc w:val="center"/>
              <w:rPr>
                <w:rFonts w:ascii="宋体" w:hAnsi="宋体"/>
                <w:sz w:val="24"/>
                <w:szCs w:val="24"/>
              </w:rPr>
            </w:pPr>
            <w:r>
              <w:rPr>
                <w:rFonts w:ascii="宋体" w:hAnsi="宋体"/>
                <w:sz w:val="24"/>
                <w:szCs w:val="24"/>
              </w:rPr>
              <w:t>1</w:t>
            </w:r>
          </w:p>
        </w:tc>
        <w:tc>
          <w:tcPr>
            <w:tcW w:w="1416"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59C50F2A">
            <w:pPr>
              <w:spacing w:line="360" w:lineRule="auto"/>
              <w:jc w:val="center"/>
              <w:rPr>
                <w:rFonts w:ascii="宋体" w:hAnsi="宋体"/>
                <w:sz w:val="24"/>
                <w:szCs w:val="24"/>
              </w:rPr>
            </w:pPr>
            <w:r>
              <w:rPr>
                <w:rFonts w:hint="eastAsia" w:ascii="宋体" w:hAnsi="宋体"/>
                <w:sz w:val="24"/>
                <w:szCs w:val="24"/>
              </w:rPr>
              <w:t>20</w:t>
            </w:r>
          </w:p>
        </w:tc>
        <w:tc>
          <w:tcPr>
            <w:tcW w:w="2207"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4D1A6D6">
            <w:pPr>
              <w:spacing w:line="360" w:lineRule="auto"/>
              <w:jc w:val="center"/>
              <w:rPr>
                <w:rFonts w:ascii="宋体" w:hAnsi="宋体"/>
                <w:sz w:val="24"/>
                <w:szCs w:val="24"/>
              </w:rPr>
            </w:pPr>
          </w:p>
        </w:tc>
      </w:tr>
      <w:tr w14:paraId="3AB67236">
        <w:tblPrEx>
          <w:tblCellMar>
            <w:top w:w="0" w:type="dxa"/>
            <w:left w:w="0" w:type="dxa"/>
            <w:bottom w:w="0" w:type="dxa"/>
            <w:right w:w="0" w:type="dxa"/>
          </w:tblCellMar>
        </w:tblPrEx>
        <w:trPr>
          <w:trHeight w:val="324" w:hRule="atLeast"/>
          <w:jc w:val="center"/>
        </w:trPr>
        <w:tc>
          <w:tcPr>
            <w:tcW w:w="1416" w:type="dxa"/>
            <w:tcBorders>
              <w:top w:val="nil"/>
              <w:left w:val="single" w:color="000000" w:sz="8" w:space="0"/>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669D9C6D">
            <w:pPr>
              <w:spacing w:line="360" w:lineRule="auto"/>
              <w:jc w:val="center"/>
              <w:rPr>
                <w:rFonts w:ascii="宋体" w:hAnsi="宋体"/>
                <w:sz w:val="24"/>
                <w:szCs w:val="24"/>
              </w:rPr>
            </w:pPr>
            <w:r>
              <w:rPr>
                <w:rFonts w:ascii="宋体" w:hAnsi="宋体"/>
                <w:sz w:val="24"/>
                <w:szCs w:val="24"/>
              </w:rPr>
              <w:t>总计</w:t>
            </w:r>
          </w:p>
        </w:tc>
        <w:tc>
          <w:tcPr>
            <w:tcW w:w="1702"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4AFDDE43">
            <w:pPr>
              <w:spacing w:line="360" w:lineRule="auto"/>
              <w:jc w:val="center"/>
              <w:rPr>
                <w:rFonts w:ascii="宋体" w:hAnsi="宋体"/>
                <w:sz w:val="24"/>
                <w:szCs w:val="24"/>
              </w:rPr>
            </w:pPr>
          </w:p>
        </w:tc>
        <w:tc>
          <w:tcPr>
            <w:tcW w:w="1419"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147BE4CC">
            <w:pPr>
              <w:spacing w:line="360" w:lineRule="auto"/>
              <w:jc w:val="center"/>
              <w:rPr>
                <w:rFonts w:ascii="宋体" w:hAnsi="宋体"/>
                <w:sz w:val="24"/>
                <w:szCs w:val="24"/>
              </w:rPr>
            </w:pPr>
            <w:r>
              <w:rPr>
                <w:rFonts w:hint="eastAsia" w:ascii="宋体" w:hAnsi="宋体"/>
                <w:sz w:val="24"/>
                <w:szCs w:val="24"/>
              </w:rPr>
              <w:t>56</w:t>
            </w:r>
          </w:p>
        </w:tc>
        <w:tc>
          <w:tcPr>
            <w:tcW w:w="1416"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49C4E807">
            <w:pPr>
              <w:spacing w:line="360" w:lineRule="auto"/>
              <w:jc w:val="center"/>
              <w:rPr>
                <w:rFonts w:ascii="宋体" w:hAnsi="宋体"/>
                <w:sz w:val="24"/>
                <w:szCs w:val="24"/>
              </w:rPr>
            </w:pPr>
            <w:r>
              <w:rPr>
                <w:rFonts w:ascii="宋体" w:hAnsi="宋体"/>
                <w:sz w:val="24"/>
                <w:szCs w:val="24"/>
              </w:rPr>
              <w:t>100</w:t>
            </w:r>
          </w:p>
        </w:tc>
        <w:tc>
          <w:tcPr>
            <w:tcW w:w="2207" w:type="dxa"/>
            <w:tcBorders>
              <w:top w:val="nil"/>
              <w:left w:val="nil"/>
              <w:bottom w:val="single" w:color="000000" w:sz="8" w:space="0"/>
              <w:right w:val="single" w:color="000000" w:sz="8" w:space="0"/>
            </w:tcBorders>
            <w:shd w:val="clear" w:color="auto" w:fill="FFFFFF"/>
            <w:noWrap w:val="0"/>
            <w:tcMar>
              <w:top w:w="39" w:type="dxa"/>
              <w:left w:w="108" w:type="dxa"/>
              <w:bottom w:w="0" w:type="dxa"/>
              <w:right w:w="0" w:type="dxa"/>
            </w:tcMar>
            <w:vAlign w:val="top"/>
          </w:tcPr>
          <w:p w14:paraId="0A50683C">
            <w:pPr>
              <w:spacing w:line="360" w:lineRule="auto"/>
              <w:jc w:val="center"/>
              <w:rPr>
                <w:rFonts w:ascii="宋体" w:hAnsi="宋体"/>
                <w:sz w:val="24"/>
                <w:szCs w:val="24"/>
              </w:rPr>
            </w:pPr>
            <w:r>
              <w:rPr>
                <w:rFonts w:ascii="宋体" w:hAnsi="宋体"/>
                <w:sz w:val="24"/>
                <w:szCs w:val="24"/>
              </w:rPr>
              <w:t>90</w:t>
            </w:r>
          </w:p>
        </w:tc>
      </w:tr>
    </w:tbl>
    <w:p w14:paraId="5EF2A089">
      <w:pPr>
        <w:spacing w:line="360" w:lineRule="auto"/>
        <w:rPr>
          <w:rFonts w:ascii="宋体" w:hAnsi="宋体"/>
          <w:sz w:val="24"/>
          <w:szCs w:val="24"/>
        </w:rPr>
      </w:pPr>
    </w:p>
    <w:sectPr>
      <w:footerReference r:id="rId3" w:type="default"/>
      <w:pgSz w:w="11906" w:h="16838"/>
      <w:pgMar w:top="709" w:right="1800" w:bottom="127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0C11">
    <w:pPr>
      <w:pStyle w:val="4"/>
      <w:jc w:val="center"/>
    </w:pPr>
    <w:r>
      <w:fldChar w:fldCharType="begin"/>
    </w:r>
    <w:r>
      <w:instrText xml:space="preserve">PAGE   \* MERGEFORMAT</w:instrText>
    </w:r>
    <w:r>
      <w:fldChar w:fldCharType="separate"/>
    </w:r>
    <w:r>
      <w:rPr>
        <w:lang w:val="zh-CN"/>
      </w:rPr>
      <w:t>2</w:t>
    </w:r>
    <w:r>
      <w:fldChar w:fldCharType="end"/>
    </w:r>
  </w:p>
  <w:p w14:paraId="2EF6C6D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452"/>
    <w:rsid w:val="0000268C"/>
    <w:rsid w:val="0004056E"/>
    <w:rsid w:val="0009698B"/>
    <w:rsid w:val="000A7608"/>
    <w:rsid w:val="000D0B21"/>
    <w:rsid w:val="000E0B67"/>
    <w:rsid w:val="000F6377"/>
    <w:rsid w:val="00153D7E"/>
    <w:rsid w:val="00157BCA"/>
    <w:rsid w:val="00171932"/>
    <w:rsid w:val="00173501"/>
    <w:rsid w:val="001747A0"/>
    <w:rsid w:val="00180CA6"/>
    <w:rsid w:val="00192608"/>
    <w:rsid w:val="001A1B68"/>
    <w:rsid w:val="001A5C3B"/>
    <w:rsid w:val="001B530F"/>
    <w:rsid w:val="001D3F63"/>
    <w:rsid w:val="001D6FFF"/>
    <w:rsid w:val="00202559"/>
    <w:rsid w:val="00222B05"/>
    <w:rsid w:val="00240A4D"/>
    <w:rsid w:val="00267CB8"/>
    <w:rsid w:val="00274EEE"/>
    <w:rsid w:val="00280062"/>
    <w:rsid w:val="0028007D"/>
    <w:rsid w:val="002B4EFF"/>
    <w:rsid w:val="002D2941"/>
    <w:rsid w:val="0034039B"/>
    <w:rsid w:val="003434C0"/>
    <w:rsid w:val="003649D6"/>
    <w:rsid w:val="003662B1"/>
    <w:rsid w:val="003833BB"/>
    <w:rsid w:val="003924E3"/>
    <w:rsid w:val="003A723B"/>
    <w:rsid w:val="003B2289"/>
    <w:rsid w:val="003D3E5D"/>
    <w:rsid w:val="003E7905"/>
    <w:rsid w:val="0042415C"/>
    <w:rsid w:val="00434135"/>
    <w:rsid w:val="00441213"/>
    <w:rsid w:val="00441F9B"/>
    <w:rsid w:val="00442206"/>
    <w:rsid w:val="00463578"/>
    <w:rsid w:val="00463FD3"/>
    <w:rsid w:val="0047249B"/>
    <w:rsid w:val="004726A7"/>
    <w:rsid w:val="004B0C25"/>
    <w:rsid w:val="004B3107"/>
    <w:rsid w:val="004C158E"/>
    <w:rsid w:val="004D4F6F"/>
    <w:rsid w:val="004E2DC1"/>
    <w:rsid w:val="00500723"/>
    <w:rsid w:val="00505E64"/>
    <w:rsid w:val="00514273"/>
    <w:rsid w:val="00552438"/>
    <w:rsid w:val="0057247A"/>
    <w:rsid w:val="00581FF3"/>
    <w:rsid w:val="00594E8B"/>
    <w:rsid w:val="005953B9"/>
    <w:rsid w:val="005E1DFF"/>
    <w:rsid w:val="0061430E"/>
    <w:rsid w:val="00626DC7"/>
    <w:rsid w:val="00646DEB"/>
    <w:rsid w:val="00662BA1"/>
    <w:rsid w:val="00686A96"/>
    <w:rsid w:val="00695DD8"/>
    <w:rsid w:val="006D34FB"/>
    <w:rsid w:val="006E0537"/>
    <w:rsid w:val="006E0A18"/>
    <w:rsid w:val="006E3D81"/>
    <w:rsid w:val="007359EC"/>
    <w:rsid w:val="00736E03"/>
    <w:rsid w:val="00737E7A"/>
    <w:rsid w:val="00752F22"/>
    <w:rsid w:val="007632DA"/>
    <w:rsid w:val="00792FD4"/>
    <w:rsid w:val="007C6E25"/>
    <w:rsid w:val="007C7503"/>
    <w:rsid w:val="007D6016"/>
    <w:rsid w:val="007D67C2"/>
    <w:rsid w:val="007E75A9"/>
    <w:rsid w:val="007F3FFF"/>
    <w:rsid w:val="008076C5"/>
    <w:rsid w:val="00810643"/>
    <w:rsid w:val="00812118"/>
    <w:rsid w:val="00822275"/>
    <w:rsid w:val="00844718"/>
    <w:rsid w:val="00850962"/>
    <w:rsid w:val="008553DA"/>
    <w:rsid w:val="00865EC5"/>
    <w:rsid w:val="00872FDD"/>
    <w:rsid w:val="00890D4C"/>
    <w:rsid w:val="008A4C53"/>
    <w:rsid w:val="008A732B"/>
    <w:rsid w:val="008B199D"/>
    <w:rsid w:val="008B6CFF"/>
    <w:rsid w:val="008D4B57"/>
    <w:rsid w:val="008E4FE9"/>
    <w:rsid w:val="00910064"/>
    <w:rsid w:val="00910502"/>
    <w:rsid w:val="00915A1E"/>
    <w:rsid w:val="00937135"/>
    <w:rsid w:val="00947B31"/>
    <w:rsid w:val="0098504A"/>
    <w:rsid w:val="009F4844"/>
    <w:rsid w:val="00A35A2E"/>
    <w:rsid w:val="00A460B3"/>
    <w:rsid w:val="00A6554D"/>
    <w:rsid w:val="00A808D7"/>
    <w:rsid w:val="00AC2109"/>
    <w:rsid w:val="00AD1266"/>
    <w:rsid w:val="00AE33AF"/>
    <w:rsid w:val="00AE53C9"/>
    <w:rsid w:val="00AE6D59"/>
    <w:rsid w:val="00AF48B8"/>
    <w:rsid w:val="00B0777D"/>
    <w:rsid w:val="00B1720B"/>
    <w:rsid w:val="00B23CA0"/>
    <w:rsid w:val="00B307CA"/>
    <w:rsid w:val="00B71452"/>
    <w:rsid w:val="00B8725B"/>
    <w:rsid w:val="00BA46DF"/>
    <w:rsid w:val="00C01F1B"/>
    <w:rsid w:val="00C23D19"/>
    <w:rsid w:val="00C3481A"/>
    <w:rsid w:val="00C40C4F"/>
    <w:rsid w:val="00C6457D"/>
    <w:rsid w:val="00C67416"/>
    <w:rsid w:val="00C73C98"/>
    <w:rsid w:val="00C74FD4"/>
    <w:rsid w:val="00C863A0"/>
    <w:rsid w:val="00C93ADA"/>
    <w:rsid w:val="00C94FD6"/>
    <w:rsid w:val="00D04D04"/>
    <w:rsid w:val="00D06F8E"/>
    <w:rsid w:val="00D1408A"/>
    <w:rsid w:val="00D333B9"/>
    <w:rsid w:val="00D5500A"/>
    <w:rsid w:val="00D625DB"/>
    <w:rsid w:val="00D86E95"/>
    <w:rsid w:val="00D9229B"/>
    <w:rsid w:val="00DA08FA"/>
    <w:rsid w:val="00DA5131"/>
    <w:rsid w:val="00DB78CE"/>
    <w:rsid w:val="00DF39A2"/>
    <w:rsid w:val="00E13582"/>
    <w:rsid w:val="00E42B5A"/>
    <w:rsid w:val="00E75350"/>
    <w:rsid w:val="00E80FEF"/>
    <w:rsid w:val="00EA56FC"/>
    <w:rsid w:val="00EC4532"/>
    <w:rsid w:val="00ED2071"/>
    <w:rsid w:val="00EF34A0"/>
    <w:rsid w:val="00F43054"/>
    <w:rsid w:val="00F43D3B"/>
    <w:rsid w:val="00F55418"/>
    <w:rsid w:val="00F66A76"/>
    <w:rsid w:val="00F70C9E"/>
    <w:rsid w:val="00FA1986"/>
    <w:rsid w:val="00FA6D44"/>
    <w:rsid w:val="00FB5792"/>
    <w:rsid w:val="00FC26DB"/>
    <w:rsid w:val="00FD2C15"/>
    <w:rsid w:val="00FD2EC5"/>
    <w:rsid w:val="00FE37F9"/>
    <w:rsid w:val="00FE4AB1"/>
    <w:rsid w:val="00FE7124"/>
    <w:rsid w:val="2BB128CF"/>
    <w:rsid w:val="2CD464B6"/>
    <w:rsid w:val="777169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7">
    <w:name w:val="Default Paragraph Font"/>
    <w:unhideWhenUsed/>
    <w:uiPriority w:val="1"/>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Date"/>
    <w:basedOn w:val="1"/>
    <w:next w:val="1"/>
    <w:link w:val="13"/>
    <w:unhideWhenUsed/>
    <w:uiPriority w:val="99"/>
    <w:pPr>
      <w:ind w:left="100" w:leftChars="2500"/>
    </w:pPr>
  </w:style>
  <w:style w:type="paragraph" w:styleId="3">
    <w:name w:val="Balloon Text"/>
    <w:basedOn w:val="1"/>
    <w:link w:val="10"/>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apple-converted-space"/>
    <w:basedOn w:val="7"/>
    <w:uiPriority w:val="0"/>
  </w:style>
  <w:style w:type="character" w:customStyle="1" w:styleId="10">
    <w:name w:val="批注框文本 Char"/>
    <w:basedOn w:val="7"/>
    <w:link w:val="3"/>
    <w:semiHidden/>
    <w:uiPriority w:val="99"/>
    <w:rPr>
      <w:sz w:val="18"/>
      <w:szCs w:val="18"/>
    </w:rPr>
  </w:style>
  <w:style w:type="character" w:customStyle="1" w:styleId="11">
    <w:name w:val="页脚 Char"/>
    <w:basedOn w:val="7"/>
    <w:link w:val="4"/>
    <w:uiPriority w:val="99"/>
    <w:rPr>
      <w:sz w:val="18"/>
      <w:szCs w:val="18"/>
    </w:rPr>
  </w:style>
  <w:style w:type="character" w:customStyle="1" w:styleId="12">
    <w:name w:val="页眉 Char"/>
    <w:basedOn w:val="7"/>
    <w:link w:val="5"/>
    <w:uiPriority w:val="99"/>
    <w:rPr>
      <w:sz w:val="18"/>
      <w:szCs w:val="18"/>
    </w:rPr>
  </w:style>
  <w:style w:type="character" w:customStyle="1" w:styleId="13">
    <w:name w:val="日期 Char"/>
    <w:basedOn w:val="7"/>
    <w:link w:val="2"/>
    <w:semiHidden/>
    <w:uiPriority w:val="99"/>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2317</Words>
  <Characters>2396</Characters>
  <Lines>18</Lines>
  <Paragraphs>5</Paragraphs>
  <TotalTime>0</TotalTime>
  <ScaleCrop>false</ScaleCrop>
  <LinksUpToDate>false</LinksUpToDate>
  <CharactersWithSpaces>2463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2025-10-09T02:49:00Z</dcterms:created>
  <dc:creator>HP</dc:creator>
  <cp:lastModifiedBy>SSPU继教学院共享</cp:lastModifiedBy>
  <dcterms:modified xsi:type="dcterms:W3CDTF">2026-01-16T00:42:05Z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7F659AF1D69143C3B1031D7E73BBF7BB_13</vt:lpwstr>
  </property>
</Properties>
</file>